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eastAsia="黑体" w:cs="黑体"/>
          <w:color w:val="000000"/>
          <w:spacing w:val="0"/>
          <w:shd w:val="clear" w:color="auto" w:fill="FFFFFF"/>
        </w:rPr>
      </w:pPr>
      <w:r>
        <w:rPr>
          <w:rFonts w:hint="eastAsia" w:eastAsia="黑体" w:cs="黑体"/>
          <w:color w:val="000000"/>
          <w:spacing w:val="0"/>
          <w:shd w:val="clear" w:color="auto" w:fill="FFFFFF"/>
        </w:rPr>
        <w:t>附件</w:t>
      </w:r>
      <w:r>
        <w:rPr>
          <w:rFonts w:eastAsia="黑体"/>
          <w:color w:val="000000"/>
          <w:spacing w:val="0"/>
          <w:shd w:val="clear" w:color="auto" w:fill="FFFFFF"/>
        </w:rPr>
        <w:t>2</w:t>
      </w:r>
    </w:p>
    <w:p>
      <w:pPr>
        <w:spacing w:after="156" w:afterLines="50" w:line="580" w:lineRule="exact"/>
        <w:jc w:val="center"/>
        <w:rPr>
          <w:rFonts w:hint="eastAsia" w:eastAsia="方正小标宋简体"/>
          <w:color w:val="000000"/>
          <w:spacing w:val="0"/>
          <w:sz w:val="44"/>
          <w:szCs w:val="44"/>
          <w:lang w:bidi="ar"/>
        </w:rPr>
      </w:pPr>
      <w:r>
        <w:rPr>
          <w:rFonts w:hint="eastAsia" w:eastAsia="方正小标宋简体"/>
          <w:color w:val="000000"/>
          <w:spacing w:val="0"/>
          <w:sz w:val="44"/>
          <w:szCs w:val="44"/>
          <w:lang w:bidi="ar"/>
        </w:rPr>
        <w:t>三年行动计划责任分工表</w:t>
      </w:r>
    </w:p>
    <w:tbl>
      <w:tblPr>
        <w:tblStyle w:val="2"/>
        <w:tblW w:w="14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7"/>
        <w:gridCol w:w="2619"/>
        <w:gridCol w:w="7450"/>
        <w:gridCol w:w="1182"/>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10726" w:type="dxa"/>
            <w:gridSpan w:val="3"/>
            <w:noWrap w:val="0"/>
            <w:tcMar>
              <w:top w:w="28" w:type="dxa"/>
              <w:left w:w="28" w:type="dxa"/>
              <w:bottom w:w="28" w:type="dxa"/>
              <w:right w:w="28" w:type="dxa"/>
            </w:tcMar>
            <w:vAlign w:val="center"/>
          </w:tcPr>
          <w:p>
            <w:pPr>
              <w:spacing w:line="260" w:lineRule="exact"/>
              <w:jc w:val="center"/>
              <w:rPr>
                <w:rFonts w:hint="eastAsia" w:ascii="Times New Roman" w:hAnsi="Times New Roman" w:eastAsia="黑体"/>
                <w:b/>
                <w:color w:val="000000"/>
                <w:spacing w:val="0"/>
                <w:sz w:val="24"/>
                <w:lang w:bidi="ar"/>
              </w:rPr>
            </w:pPr>
            <w:r>
              <w:rPr>
                <w:rFonts w:hint="eastAsia" w:ascii="Times New Roman" w:hAnsi="Times New Roman" w:eastAsia="黑体"/>
                <w:b/>
                <w:color w:val="000000"/>
                <w:spacing w:val="0"/>
                <w:sz w:val="24"/>
                <w:lang w:bidi="ar"/>
              </w:rPr>
              <w:t>三年行动计划责任分工</w:t>
            </w:r>
          </w:p>
        </w:tc>
        <w:tc>
          <w:tcPr>
            <w:tcW w:w="1182" w:type="dxa"/>
            <w:noWrap w:val="0"/>
            <w:tcMar>
              <w:top w:w="28" w:type="dxa"/>
              <w:left w:w="28" w:type="dxa"/>
              <w:bottom w:w="28" w:type="dxa"/>
              <w:right w:w="28" w:type="dxa"/>
            </w:tcMar>
            <w:vAlign w:val="center"/>
          </w:tcPr>
          <w:p>
            <w:pPr>
              <w:spacing w:line="260" w:lineRule="exact"/>
              <w:jc w:val="center"/>
              <w:rPr>
                <w:rFonts w:hint="eastAsia" w:ascii="Times New Roman" w:hAnsi="Times New Roman" w:eastAsia="黑体"/>
                <w:b/>
                <w:color w:val="000000"/>
                <w:spacing w:val="0"/>
                <w:sz w:val="24"/>
                <w:lang w:bidi="ar"/>
              </w:rPr>
            </w:pPr>
            <w:r>
              <w:rPr>
                <w:rFonts w:hint="eastAsia" w:ascii="Times New Roman" w:hAnsi="Times New Roman" w:eastAsia="黑体"/>
                <w:b/>
                <w:color w:val="000000"/>
                <w:spacing w:val="0"/>
                <w:sz w:val="24"/>
                <w:lang w:bidi="ar"/>
              </w:rPr>
              <w:t>牵头单位</w:t>
            </w:r>
          </w:p>
        </w:tc>
        <w:tc>
          <w:tcPr>
            <w:tcW w:w="2097" w:type="dxa"/>
            <w:noWrap w:val="0"/>
            <w:tcMar>
              <w:top w:w="28" w:type="dxa"/>
              <w:left w:w="28" w:type="dxa"/>
              <w:bottom w:w="28" w:type="dxa"/>
              <w:right w:w="28" w:type="dxa"/>
            </w:tcMar>
            <w:vAlign w:val="center"/>
          </w:tcPr>
          <w:p>
            <w:pPr>
              <w:spacing w:line="260" w:lineRule="exact"/>
              <w:jc w:val="center"/>
              <w:rPr>
                <w:rFonts w:hint="eastAsia" w:ascii="Times New Roman" w:hAnsi="Times New Roman" w:eastAsia="黑体"/>
                <w:b/>
                <w:color w:val="000000"/>
                <w:spacing w:val="0"/>
                <w:sz w:val="24"/>
                <w:lang w:bidi="ar"/>
              </w:rPr>
            </w:pPr>
            <w:r>
              <w:rPr>
                <w:rFonts w:hint="eastAsia" w:ascii="Times New Roman" w:hAnsi="Times New Roman" w:eastAsia="黑体"/>
                <w:b/>
                <w:color w:val="000000"/>
                <w:spacing w:val="0"/>
                <w:sz w:val="24"/>
                <w:lang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restart"/>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主要</w:t>
            </w:r>
          </w:p>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任务</w:t>
            </w:r>
          </w:p>
        </w:tc>
        <w:tc>
          <w:tcPr>
            <w:tcW w:w="2619"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1．持续完善产业链条</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围绕机器人与智能制造产业，不断深化产业链招商，加大双招双引力度，加强人才项目招引。着力整合近年来的招商项目信息，强化项目的全生命周期监管，以重点工业项目为抓手，强化项目推进保障服务，加快项目建设速度，推动签约项目早落地、早投产、早见效。</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区商务局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lang w:bidi="ar"/>
              </w:rPr>
            </w:pPr>
            <w:r>
              <w:rPr>
                <w:rFonts w:hint="eastAsia" w:ascii="Times New Roman" w:hAnsi="Times New Roman" w:eastAsia="宋体"/>
                <w:b/>
                <w:color w:val="000000"/>
                <w:spacing w:val="0"/>
                <w:sz w:val="21"/>
                <w:szCs w:val="21"/>
                <w:lang w:bidi="ar"/>
              </w:rPr>
              <w:t>区工信局、区发改委、</w:t>
            </w:r>
          </w:p>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区科技局、区人才办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2．培育企业做大做强</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建立骨干企业培育库，构建分级培育机制，增强骨干企业实力。加大政策扶持，对重大项目建设、高端人才引进等一事一议，鼓励骨干企业通过兼并重组和借助资本市场进一步做大做强。鼓励区内机器人与智能制造产业上下游企业强强联合，促进大中小企业集群式融通发展。</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lang w:bidi="ar"/>
              </w:rPr>
            </w:pPr>
            <w:r>
              <w:rPr>
                <w:rFonts w:hint="eastAsia" w:ascii="Times New Roman" w:hAnsi="Times New Roman" w:eastAsia="宋体"/>
                <w:b/>
                <w:color w:val="000000"/>
                <w:spacing w:val="0"/>
                <w:sz w:val="21"/>
                <w:szCs w:val="21"/>
                <w:lang w:bidi="ar"/>
              </w:rPr>
              <w:t>区科技局、区人才办、</w:t>
            </w:r>
          </w:p>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区人社局、区金融监管局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3．持续优化产业空间布局</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围绕“一核一轴一带”产业定位中的先进制造轴，引导各板块结合各自产业实际情况和发展潜力，以机器人与智能制造产业为中心进行优化布局。</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区发改委</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区工信局、吴中资规分局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4．加强关键核心技术攻关</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支持装备制造商研制高端智能制造装备，并实现在重点行业的规模化应用。鼓励重点企业加大研发攻关力度，聚焦机器人与智能制造产业链关键环节，集成优势创新资源和科研精锐力量，着力在重点优势领域率先实现“卡脖子”关键技术突破。围绕工控、金融等领域，提高自主可控能力，提升工控高端产品的国产化占有率。</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5.促进技术创新与转化</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加强“专精特新”、“甪端”、“瞪羚”、高新技术企业培育，做好省首台套、关键技术研发等创新举措，加大企业技术中心、工程技术研究中心、新型研发机构推进力度。聚焦科技重大专项和重点研发计划，充分整合创新要素资源，推动产学研用合作，促进科技成果转化。</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lang w:bidi="ar"/>
              </w:rPr>
            </w:pPr>
            <w:r>
              <w:rPr>
                <w:rFonts w:hint="eastAsia" w:ascii="Times New Roman" w:hAnsi="Times New Roman" w:eastAsia="宋体"/>
                <w:b/>
                <w:color w:val="000000"/>
                <w:spacing w:val="0"/>
                <w:sz w:val="21"/>
                <w:szCs w:val="21"/>
                <w:lang w:bidi="ar"/>
              </w:rPr>
              <w:t>区工信局、区人社局、</w:t>
            </w:r>
          </w:p>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shd w:val="clear" w:color="auto" w:fill="auto"/>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6．培育智能制造解决方案供应商</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引进和培育相结合，建立吴中区系统解决方案供应商名录。支持装备制造企业从提供设备向提供设计、承接工程、设施维护和管理运营等智能制造一体化服务转变。支持系统集成商联合装备供应商、软件开发商，推进智能制造装备、核心软件、工业互联网的集成应用。</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shd w:val="clear" w:color="auto" w:fill="auto"/>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7．推进诊断服务引领</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聚焦重点行业，引入智能制造诊断服务商，分行业深入实施智能制造诊断服务，帮助企业打通智能化升级改造过程中的堵点、难点和痛点，推动企业朝数字化、智能化、协同化方向发展。</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shd w:val="clear" w:color="auto" w:fill="auto"/>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8．加快智能化改造应用</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聚焦优势行业，推动智能化改造解决方案的落地。深化实施工业机器人应用，推进机器人在传统产业领域的广泛应用。</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区科技局、区金融监管局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restart"/>
            <w:shd w:val="clear" w:color="auto" w:fill="auto"/>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主要</w:t>
            </w:r>
          </w:p>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任务</w:t>
            </w: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9．打造产业标杆示范</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在基础条件好、创新能力强、智能制造水平高的行业中选择优势骨干企业，分类分步实施智能制造试点示范项目，培育智能制造与工业互联网标杆示范企业。</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shd w:val="clear" w:color="auto" w:fill="auto"/>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10．提升公共服务能力</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加大对优质智能制造公共服务平台的培育力度，鼓励重点平台积极参与数字化改造，有效带动区内制造业智能化改造和数字化转型发展。充分发挥联盟等社会团体作为政府与企业之间的桥梁纽带作用，放大资源汇聚效应和倍增效应。</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区发改委、区科技局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shd w:val="clear" w:color="auto" w:fill="auto"/>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11．强化人才培育</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加强智能制造人才引进和培育，聚集一批由高层次人才领衔的研发团队和科创项目。充分发挥东吴创新创业引导基金和吴中区领军人才天使创业投资基金的引才育才效用。优先推荐智能制造领域人才申报科技企业家、产业紧缺人才、高技能人才等人才计划。加快智能制造领域经管人才培育。整合政产学研用优势资源，构建高技能人才成长体系。</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区人才办</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区科技局、区人社局、区工信局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shd w:val="clear" w:color="auto" w:fill="auto"/>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12．促进区域融合发展</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立足吴中产业实际，积极参与长三角区域要素分工、价值链分工，积极融入苏州智能制造产业发展生态圈，不断优化和提升吴中产业结构。</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区发改委</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区科技局、区工信局、区人才办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restart"/>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保障</w:t>
            </w:r>
          </w:p>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措施</w:t>
            </w: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13．加强组织领导</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制定推进计划及相关支持政策，完善考核机制，将产业发展目标细化分解至各部门各板块，设置奖惩制度，加强监督指导，推动各项指标完成。</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区政府办</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14．加强要素保障</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完善政策扶持体系，强化金融服务保障，做好招才引智服务，加强空间载体保障。</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区工信局</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区人才办、区发改委、区科技局、区财政局、区人社局、区金融监管局、吴中资规分局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7" w:type="dxa"/>
            <w:vMerge w:val="continue"/>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p>
        </w:tc>
        <w:tc>
          <w:tcPr>
            <w:tcW w:w="2619" w:type="dxa"/>
            <w:noWrap/>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15．优化产业发展环境</w:t>
            </w:r>
          </w:p>
        </w:tc>
        <w:tc>
          <w:tcPr>
            <w:tcW w:w="7450"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优化营商环境，进一步深化“放管服”改革，创新行政审批方式，全面深化工程审批制度改革。放宽市场主体登记条件，全面优化企业开办、注销流程机制，全力打造“空气式”政务服务的“吴优办”品牌。切实降低企业生产经营负担，持续优化企业发展环境。</w:t>
            </w:r>
          </w:p>
        </w:tc>
        <w:tc>
          <w:tcPr>
            <w:tcW w:w="1182" w:type="dxa"/>
            <w:noWrap w:val="0"/>
            <w:tcMar>
              <w:top w:w="28" w:type="dxa"/>
              <w:left w:w="28" w:type="dxa"/>
              <w:bottom w:w="28" w:type="dxa"/>
              <w:right w:w="28" w:type="dxa"/>
            </w:tcMar>
            <w:vAlign w:val="center"/>
          </w:tcPr>
          <w:p>
            <w:pPr>
              <w:spacing w:line="240" w:lineRule="exact"/>
              <w:jc w:val="center"/>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区发改委</w:t>
            </w:r>
          </w:p>
        </w:tc>
        <w:tc>
          <w:tcPr>
            <w:tcW w:w="2097" w:type="dxa"/>
            <w:noWrap w:val="0"/>
            <w:tcMar>
              <w:top w:w="28" w:type="dxa"/>
              <w:left w:w="28" w:type="dxa"/>
              <w:bottom w:w="28" w:type="dxa"/>
              <w:right w:w="28" w:type="dxa"/>
            </w:tcMar>
            <w:vAlign w:val="center"/>
          </w:tcPr>
          <w:p>
            <w:pPr>
              <w:spacing w:line="240" w:lineRule="exact"/>
              <w:rPr>
                <w:rFonts w:hint="eastAsia" w:ascii="Times New Roman" w:hAnsi="Times New Roman" w:eastAsia="宋体"/>
                <w:b/>
                <w:color w:val="000000"/>
                <w:spacing w:val="0"/>
                <w:sz w:val="21"/>
                <w:szCs w:val="21"/>
              </w:rPr>
            </w:pPr>
            <w:r>
              <w:rPr>
                <w:rFonts w:hint="eastAsia" w:ascii="Times New Roman" w:hAnsi="Times New Roman" w:eastAsia="宋体"/>
                <w:b/>
                <w:color w:val="000000"/>
                <w:spacing w:val="0"/>
                <w:sz w:val="21"/>
                <w:szCs w:val="21"/>
                <w:lang w:bidi="ar"/>
              </w:rPr>
              <w:t>区行政审批局、区市场监管局、区工信局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仿宋体">
    <w:altName w:val="仿宋"/>
    <w:panose1 w:val="0201060901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60CCC"/>
    <w:rsid w:val="26D6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文鼎CS仿宋体" w:cs="Times New Roman"/>
      <w:spacing w:val="-4"/>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2021-04-02T11:49:00Z</dcterms:created>
  <dc:creator>WPS_1616996798</dc:creator>
  <cp:lastModifiedBy>WPS_1616996798</cp:lastModifiedBy>
  <dcterms:modified xsi:type="dcterms:W3CDTF">2021-04-02T11:50:08Z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A4E6FE5178C7457CAF86E9D085683769</vt:lpwstr>
  </property>
</Properties>
</file>