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0" w:line="590" w:lineRule="exact"/>
        <w:jc w:val="center"/>
        <w:rPr>
          <w:rFonts w:ascii="方正小标宋_GBK" w:hAnsi="Times New Roman" w:eastAsia="方正小标宋_GBK"/>
          <w:spacing w:val="-20"/>
          <w:sz w:val="44"/>
          <w:szCs w:val="44"/>
        </w:rPr>
      </w:pPr>
      <w:bookmarkStart w:id="0" w:name="_Toc323032605"/>
    </w:p>
    <w:p>
      <w:pPr>
        <w:snapToGrid w:val="0"/>
        <w:spacing w:after="0" w:line="590" w:lineRule="exact"/>
        <w:jc w:val="center"/>
        <w:rPr>
          <w:rFonts w:ascii="方正小标宋_GBK" w:hAnsi="Times New Roman" w:eastAsia="方正小标宋_GBK"/>
          <w:bCs/>
          <w:spacing w:val="-20"/>
          <w:sz w:val="44"/>
          <w:szCs w:val="44"/>
        </w:rPr>
      </w:pPr>
      <w:r>
        <w:rPr>
          <w:rFonts w:hint="eastAsia" w:ascii="方正小标宋_GBK" w:hAnsi="Times New Roman" w:eastAsia="方正小标宋_GBK"/>
          <w:spacing w:val="-20"/>
          <w:sz w:val="44"/>
          <w:szCs w:val="44"/>
        </w:rPr>
        <w:t>江苏省首台（套）</w:t>
      </w:r>
      <w:bookmarkEnd w:id="0"/>
      <w:r>
        <w:rPr>
          <w:rFonts w:hint="eastAsia" w:ascii="方正小标宋_GBK" w:hAnsi="Times New Roman" w:eastAsia="方正小标宋_GBK"/>
          <w:bCs/>
          <w:spacing w:val="-20"/>
          <w:sz w:val="44"/>
          <w:szCs w:val="44"/>
        </w:rPr>
        <w:t>重大装备认定管理实施细则</w:t>
      </w:r>
    </w:p>
    <w:p>
      <w:pPr>
        <w:snapToGrid w:val="0"/>
        <w:spacing w:after="0" w:line="590" w:lineRule="exact"/>
        <w:jc w:val="center"/>
        <w:rPr>
          <w:rFonts w:ascii="方正楷体_GBK" w:hAnsi="Times New Roman" w:eastAsia="方正楷体_GBK"/>
          <w:bCs/>
          <w:spacing w:val="-20"/>
          <w:sz w:val="36"/>
          <w:szCs w:val="32"/>
        </w:rPr>
      </w:pPr>
      <w:r>
        <w:rPr>
          <w:rFonts w:hint="eastAsia" w:ascii="方正楷体_GBK" w:hAnsi="Times New Roman" w:eastAsia="方正楷体_GBK"/>
          <w:bCs/>
          <w:spacing w:val="-20"/>
          <w:sz w:val="36"/>
          <w:szCs w:val="32"/>
        </w:rPr>
        <w:t>（2020年修订）</w:t>
      </w:r>
    </w:p>
    <w:p>
      <w:pPr>
        <w:snapToGrid w:val="0"/>
        <w:spacing w:after="0" w:line="590" w:lineRule="exact"/>
        <w:jc w:val="center"/>
        <w:rPr>
          <w:rFonts w:ascii="Times New Roman" w:hAnsi="Times New Roman" w:eastAsia="方正楷体_GBK"/>
          <w:bCs/>
          <w:spacing w:val="-20"/>
          <w:sz w:val="48"/>
          <w:szCs w:val="48"/>
        </w:rPr>
      </w:pPr>
    </w:p>
    <w:p>
      <w:pPr>
        <w:widowControl w:val="0"/>
        <w:overflowPunct w:val="0"/>
        <w:spacing w:after="0" w:line="590" w:lineRule="exact"/>
        <w:jc w:val="center"/>
        <w:rPr>
          <w:rFonts w:ascii="方正黑体_GBK" w:hAnsi="Times New Roman" w:eastAsia="方正黑体_GBK"/>
          <w:color w:val="000000"/>
          <w:sz w:val="32"/>
          <w:szCs w:val="32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</w:rPr>
        <w:t>第一章 总则</w:t>
      </w:r>
    </w:p>
    <w:p>
      <w:pPr>
        <w:widowControl w:val="0"/>
        <w:overflowPunct w:val="0"/>
        <w:adjustRightInd w:val="0"/>
        <w:spacing w:after="0" w:line="580" w:lineRule="exact"/>
        <w:ind w:firstLine="640" w:firstLineChars="200"/>
        <w:rPr>
          <w:rFonts w:ascii="方正楷体_GBK" w:hAnsi="Times New Roman" w:eastAsia="方正楷体_GBK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第一条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楷体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为加快建设自主可控的先进制造业体系，推动制造业高质量发展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鼓励和引导装备企业开展技术</w:t>
      </w:r>
      <w:bookmarkStart w:id="1" w:name="_GoBack"/>
      <w:bookmarkEnd w:id="1"/>
      <w:r>
        <w:rPr>
          <w:rFonts w:hint="eastAsia" w:ascii="Times New Roman" w:hAnsi="Times New Roman" w:eastAsia="方正仿宋_GBK"/>
          <w:color w:val="000000"/>
          <w:sz w:val="32"/>
          <w:szCs w:val="32"/>
        </w:rPr>
        <w:t>创新，积极研制首台（套）</w:t>
      </w:r>
      <w:r>
        <w:rPr>
          <w:rFonts w:ascii="Times New Roman" w:hAnsi="Times New Roman" w:eastAsia="方正仿宋_GBK"/>
          <w:color w:val="000000"/>
          <w:sz w:val="32"/>
          <w:szCs w:val="32"/>
        </w:rPr>
        <w:t>重大技术装备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（以下简称“首台套”），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制定本实施细则。</w:t>
      </w:r>
    </w:p>
    <w:p>
      <w:pPr>
        <w:widowControl w:val="0"/>
        <w:overflowPunct w:val="0"/>
        <w:adjustRightInd w:val="0"/>
        <w:spacing w:after="0" w:line="580" w:lineRule="exact"/>
        <w:ind w:firstLine="640" w:firstLineChars="200"/>
        <w:jc w:val="both"/>
        <w:rPr>
          <w:rFonts w:ascii="方正楷体_GBK" w:hAnsi="Times New Roman" w:eastAsia="方正楷体_GBK"/>
          <w:color w:val="FF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第二条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本细则所称的</w:t>
      </w:r>
      <w:r>
        <w:rPr>
          <w:rFonts w:hint="eastAsia" w:ascii="方正仿宋_GBK" w:hAnsi="宋体" w:eastAsia="方正仿宋_GBK" w:cs="宋体"/>
          <w:color w:val="070707"/>
          <w:sz w:val="32"/>
          <w:szCs w:val="32"/>
        </w:rPr>
        <w:t>首台套是指经过</w:t>
      </w:r>
      <w:r>
        <w:rPr>
          <w:rFonts w:ascii="方正仿宋_GBK" w:hAnsi="宋体" w:eastAsia="方正仿宋_GBK" w:cs="宋体"/>
          <w:color w:val="070707"/>
          <w:sz w:val="32"/>
          <w:szCs w:val="32"/>
        </w:rPr>
        <w:t>创新，其品种、规格</w:t>
      </w:r>
      <w:r>
        <w:rPr>
          <w:rFonts w:hint="eastAsia" w:ascii="方正仿宋_GBK" w:hAnsi="宋体" w:eastAsia="方正仿宋_GBK" w:cs="宋体"/>
          <w:color w:val="070707"/>
          <w:sz w:val="32"/>
          <w:szCs w:val="32"/>
        </w:rPr>
        <w:t>或</w:t>
      </w:r>
      <w:r>
        <w:rPr>
          <w:rFonts w:ascii="方正仿宋_GBK" w:hAnsi="宋体" w:eastAsia="方正仿宋_GBK" w:cs="宋体"/>
          <w:color w:val="070707"/>
          <w:sz w:val="32"/>
          <w:szCs w:val="32"/>
        </w:rPr>
        <w:t>技术参数等有重大突破，</w:t>
      </w:r>
      <w:r>
        <w:rPr>
          <w:rFonts w:ascii="方正仿宋_GBK" w:hAnsi="宋体" w:eastAsia="方正仿宋_GBK" w:cs="宋体"/>
          <w:color w:val="FF0000"/>
          <w:sz w:val="32"/>
          <w:szCs w:val="32"/>
        </w:rPr>
        <w:t>具有自主知识产权但尚未取得市场业绩的国际或国内</w:t>
      </w:r>
      <w:r>
        <w:rPr>
          <w:rFonts w:hint="eastAsia" w:ascii="方正仿宋_GBK" w:hAnsi="宋体" w:eastAsia="方正仿宋_GBK" w:cs="宋体"/>
          <w:color w:val="FF0000"/>
          <w:sz w:val="32"/>
          <w:szCs w:val="32"/>
        </w:rPr>
        <w:t>首台（</w:t>
      </w:r>
      <w:r>
        <w:rPr>
          <w:rFonts w:ascii="方正仿宋_GBK" w:hAnsi="宋体" w:eastAsia="方正仿宋_GBK" w:cs="宋体"/>
          <w:color w:val="FF0000"/>
          <w:sz w:val="32"/>
          <w:szCs w:val="32"/>
        </w:rPr>
        <w:t>套</w:t>
      </w:r>
      <w:r>
        <w:rPr>
          <w:rFonts w:hint="eastAsia" w:ascii="方正仿宋_GBK" w:hAnsi="宋体" w:eastAsia="方正仿宋_GBK" w:cs="宋体"/>
          <w:color w:val="FF0000"/>
          <w:sz w:val="32"/>
          <w:szCs w:val="32"/>
        </w:rPr>
        <w:t>）高端</w:t>
      </w:r>
      <w:r>
        <w:rPr>
          <w:rFonts w:ascii="方正仿宋_GBK" w:hAnsi="宋体" w:eastAsia="方正仿宋_GBK" w:cs="宋体"/>
          <w:color w:val="FF0000"/>
          <w:sz w:val="32"/>
          <w:szCs w:val="32"/>
        </w:rPr>
        <w:t>装备，整机性能</w:t>
      </w:r>
      <w:r>
        <w:rPr>
          <w:rFonts w:hint="eastAsia" w:ascii="方正仿宋_GBK" w:hAnsi="宋体" w:eastAsia="方正仿宋_GBK" w:cs="宋体"/>
          <w:color w:val="FF0000"/>
          <w:sz w:val="32"/>
          <w:szCs w:val="32"/>
        </w:rPr>
        <w:t>或核心</w:t>
      </w:r>
      <w:r>
        <w:rPr>
          <w:rFonts w:ascii="方正仿宋_GBK" w:hAnsi="宋体" w:eastAsia="方正仿宋_GBK" w:cs="宋体"/>
          <w:color w:val="FF0000"/>
          <w:sz w:val="32"/>
          <w:szCs w:val="32"/>
        </w:rPr>
        <w:t>技术指标</w:t>
      </w:r>
      <w:r>
        <w:rPr>
          <w:rFonts w:hint="eastAsia" w:ascii="方正仿宋_GBK" w:hAnsi="宋体" w:eastAsia="方正仿宋_GBK" w:cs="宋体"/>
          <w:color w:val="FF0000"/>
          <w:sz w:val="32"/>
          <w:szCs w:val="32"/>
        </w:rPr>
        <w:t>达到</w:t>
      </w:r>
      <w:r>
        <w:rPr>
          <w:rFonts w:ascii="方正仿宋_GBK" w:hAnsi="宋体" w:eastAsia="方正仿宋_GBK" w:cs="宋体"/>
          <w:color w:val="FF0000"/>
          <w:sz w:val="32"/>
          <w:szCs w:val="32"/>
        </w:rPr>
        <w:t>国内领先或国际同类装备先进水平</w:t>
      </w:r>
      <w:r>
        <w:rPr>
          <w:rFonts w:hint="eastAsia" w:ascii="方正仿宋_GBK" w:hAnsi="宋体" w:eastAsia="方正仿宋_GBK" w:cs="宋体"/>
          <w:color w:val="FF0000"/>
          <w:sz w:val="32"/>
          <w:szCs w:val="32"/>
        </w:rPr>
        <w:t>。</w:t>
      </w:r>
    </w:p>
    <w:p>
      <w:pPr>
        <w:widowControl w:val="0"/>
        <w:overflowPunct w:val="0"/>
        <w:adjustRightInd w:val="0"/>
        <w:spacing w:after="0" w:line="580" w:lineRule="exact"/>
        <w:ind w:firstLine="640" w:firstLineChars="200"/>
        <w:jc w:val="both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第三条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省工业和信息化厅</w:t>
      </w:r>
      <w:r>
        <w:rPr>
          <w:rFonts w:ascii="Times New Roman" w:hAnsi="Times New Roman" w:eastAsia="方正仿宋_GBK"/>
          <w:color w:val="000000"/>
          <w:sz w:val="32"/>
          <w:szCs w:val="32"/>
        </w:rPr>
        <w:t>按年度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组织认定江苏省首台套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。申请单位根据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本细则</w:t>
      </w:r>
      <w:r>
        <w:rPr>
          <w:rFonts w:ascii="Times New Roman" w:hAnsi="Times New Roman" w:eastAsia="方正仿宋_GBK"/>
          <w:color w:val="000000"/>
          <w:sz w:val="32"/>
          <w:szCs w:val="32"/>
        </w:rPr>
        <w:t>自愿申报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。</w:t>
      </w:r>
    </w:p>
    <w:p>
      <w:pPr>
        <w:widowControl w:val="0"/>
        <w:overflowPunct w:val="0"/>
        <w:adjustRightInd w:val="0"/>
        <w:spacing w:after="0" w:line="580" w:lineRule="exact"/>
        <w:ind w:firstLine="640" w:firstLineChars="200"/>
        <w:jc w:val="both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widowControl w:val="0"/>
        <w:overflowPunct w:val="0"/>
        <w:spacing w:after="0" w:line="580" w:lineRule="exact"/>
        <w:ind w:firstLine="640" w:firstLineChars="200"/>
        <w:jc w:val="center"/>
        <w:rPr>
          <w:rFonts w:ascii="方正黑体_GBK" w:hAnsi="Times New Roman" w:eastAsia="方正黑体_GBK"/>
          <w:color w:val="000000"/>
          <w:sz w:val="32"/>
          <w:szCs w:val="32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</w:rPr>
        <w:t>第二章 认定条件</w:t>
      </w:r>
    </w:p>
    <w:p>
      <w:pPr>
        <w:widowControl w:val="0"/>
        <w:overflowPunct w:val="0"/>
        <w:autoSpaceDE w:val="0"/>
        <w:autoSpaceDN w:val="0"/>
        <w:adjustRightInd w:val="0"/>
        <w:spacing w:after="0" w:line="58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第四条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color w:val="000000"/>
          <w:sz w:val="32"/>
          <w:szCs w:val="32"/>
        </w:rPr>
        <w:t>申请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单位</w:t>
      </w:r>
      <w:r>
        <w:rPr>
          <w:rFonts w:ascii="Times New Roman" w:hAnsi="Times New Roman" w:eastAsia="方正仿宋_GBK"/>
          <w:color w:val="000000"/>
          <w:sz w:val="32"/>
          <w:szCs w:val="32"/>
        </w:rPr>
        <w:t>应符合以下基本条件：</w:t>
      </w:r>
    </w:p>
    <w:p>
      <w:pPr>
        <w:widowControl w:val="0"/>
        <w:overflowPunct w:val="0"/>
        <w:autoSpaceDE w:val="0"/>
        <w:autoSpaceDN w:val="0"/>
        <w:adjustRightInd w:val="0"/>
        <w:spacing w:after="0" w:line="58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一、在江苏省行政区域内依法注册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一年以上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，具有独立法人资格。</w:t>
      </w:r>
    </w:p>
    <w:p>
      <w:pPr>
        <w:widowControl w:val="0"/>
        <w:overflowPunct w:val="0"/>
        <w:autoSpaceDE w:val="0"/>
        <w:autoSpaceDN w:val="0"/>
        <w:adjustRightInd w:val="0"/>
        <w:spacing w:after="0" w:line="58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二、生产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经</w:t>
      </w:r>
      <w:r>
        <w:rPr>
          <w:rFonts w:ascii="Times New Roman" w:hAnsi="Times New Roman" w:eastAsia="方正仿宋_GBK"/>
          <w:color w:val="000000"/>
          <w:sz w:val="32"/>
          <w:szCs w:val="32"/>
        </w:rPr>
        <w:t>营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正常、</w:t>
      </w:r>
      <w:r>
        <w:rPr>
          <w:rFonts w:ascii="Times New Roman" w:hAnsi="Times New Roman" w:eastAsia="方正仿宋_GBK"/>
          <w:color w:val="000000"/>
          <w:sz w:val="32"/>
          <w:szCs w:val="32"/>
        </w:rPr>
        <w:t>管理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规范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申报</w:t>
      </w:r>
      <w:r>
        <w:rPr>
          <w:rFonts w:ascii="Times New Roman" w:hAnsi="Times New Roman" w:eastAsia="方正仿宋_GBK"/>
          <w:color w:val="000000"/>
          <w:sz w:val="32"/>
          <w:szCs w:val="32"/>
        </w:rPr>
        <w:t>时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无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严重失信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记录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近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三年内未发生重大安全生产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或</w:t>
      </w:r>
      <w:r>
        <w:rPr>
          <w:rFonts w:ascii="Times New Roman" w:hAnsi="Times New Roman" w:eastAsia="方正仿宋_GBK"/>
          <w:color w:val="000000"/>
          <w:sz w:val="32"/>
          <w:szCs w:val="32"/>
        </w:rPr>
        <w:t>环保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等</w:t>
      </w:r>
      <w:r>
        <w:rPr>
          <w:rFonts w:ascii="Times New Roman" w:hAnsi="Times New Roman" w:eastAsia="方正仿宋_GBK"/>
          <w:color w:val="000000"/>
          <w:sz w:val="32"/>
          <w:szCs w:val="32"/>
        </w:rPr>
        <w:t>事故。</w:t>
      </w:r>
    </w:p>
    <w:p>
      <w:pPr>
        <w:widowControl w:val="0"/>
        <w:overflowPunct w:val="0"/>
        <w:autoSpaceDE w:val="0"/>
        <w:autoSpaceDN w:val="0"/>
        <w:adjustRightInd w:val="0"/>
        <w:spacing w:after="0" w:line="58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三、具有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装备</w:t>
      </w:r>
      <w:r>
        <w:rPr>
          <w:rFonts w:ascii="Times New Roman" w:hAnsi="Times New Roman" w:eastAsia="方正仿宋_GBK"/>
          <w:color w:val="000000"/>
          <w:sz w:val="32"/>
          <w:szCs w:val="32"/>
        </w:rPr>
        <w:t>设计制造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能力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研发试验</w:t>
      </w:r>
      <w:r>
        <w:rPr>
          <w:rFonts w:ascii="Times New Roman" w:hAnsi="Times New Roman" w:eastAsia="方正仿宋_GBK"/>
          <w:color w:val="000000"/>
          <w:sz w:val="32"/>
          <w:szCs w:val="32"/>
        </w:rPr>
        <w:t>基础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条件</w:t>
      </w:r>
      <w:r>
        <w:rPr>
          <w:rFonts w:ascii="Times New Roman" w:hAnsi="Times New Roman" w:eastAsia="方正仿宋_GBK"/>
          <w:color w:val="000000"/>
          <w:sz w:val="32"/>
          <w:szCs w:val="32"/>
        </w:rPr>
        <w:t>良好，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具有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专业且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稳定</w:t>
      </w:r>
      <w:r>
        <w:rPr>
          <w:rFonts w:ascii="Times New Roman" w:hAnsi="Times New Roman" w:eastAsia="方正仿宋_GBK"/>
          <w:color w:val="000000"/>
          <w:sz w:val="32"/>
          <w:szCs w:val="32"/>
        </w:rPr>
        <w:t>的技术人才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队伍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。</w:t>
      </w:r>
    </w:p>
    <w:p>
      <w:pPr>
        <w:widowControl w:val="0"/>
        <w:overflowPunct w:val="0"/>
        <w:autoSpaceDE w:val="0"/>
        <w:autoSpaceDN w:val="0"/>
        <w:adjustRightInd w:val="0"/>
        <w:spacing w:after="0" w:line="58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第五条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color w:val="000000"/>
          <w:sz w:val="32"/>
          <w:szCs w:val="32"/>
        </w:rPr>
        <w:t>申请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装备</w:t>
      </w:r>
      <w:r>
        <w:rPr>
          <w:rFonts w:ascii="Times New Roman" w:hAnsi="Times New Roman" w:eastAsia="方正仿宋_GBK"/>
          <w:color w:val="000000"/>
          <w:sz w:val="32"/>
          <w:szCs w:val="32"/>
        </w:rPr>
        <w:t>应符合以下基本条件：</w:t>
      </w:r>
    </w:p>
    <w:p>
      <w:pPr>
        <w:widowControl w:val="0"/>
        <w:overflowPunct w:val="0"/>
        <w:autoSpaceDE w:val="0"/>
        <w:autoSpaceDN w:val="0"/>
        <w:adjustRightInd w:val="0"/>
        <w:spacing w:after="0" w:line="58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一、符合国家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和</w:t>
      </w:r>
      <w:r>
        <w:rPr>
          <w:rFonts w:ascii="Times New Roman" w:hAnsi="Times New Roman" w:eastAsia="方正仿宋_GBK"/>
          <w:color w:val="000000"/>
          <w:sz w:val="32"/>
          <w:szCs w:val="32"/>
        </w:rPr>
        <w:t>省工业转型升级要求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/>
          <w:color w:val="FF0000"/>
          <w:sz w:val="32"/>
          <w:szCs w:val="32"/>
        </w:rPr>
        <w:t>能够实现量产和销售，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满足售后服务需要。</w:t>
      </w:r>
    </w:p>
    <w:p>
      <w:pPr>
        <w:widowControl w:val="0"/>
        <w:overflowPunct w:val="0"/>
        <w:autoSpaceDE w:val="0"/>
        <w:autoSpaceDN w:val="0"/>
        <w:adjustRightInd w:val="0"/>
        <w:spacing w:after="0" w:line="58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二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、产品自主可控程度高，掌握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装备</w:t>
      </w:r>
      <w:r>
        <w:rPr>
          <w:rFonts w:ascii="Times New Roman" w:hAnsi="Times New Roman" w:eastAsia="方正仿宋_GBK"/>
          <w:color w:val="000000"/>
          <w:sz w:val="32"/>
          <w:szCs w:val="32"/>
        </w:rPr>
        <w:t>生产的核心技术和关键工艺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在设计与制造技术等方面具有标志性突破或根本性改进，核心技术及关键部件安全可控。</w:t>
      </w:r>
    </w:p>
    <w:p>
      <w:pPr>
        <w:widowControl w:val="0"/>
        <w:overflowPunct w:val="0"/>
        <w:autoSpaceDE w:val="0"/>
        <w:autoSpaceDN w:val="0"/>
        <w:adjustRightInd w:val="0"/>
        <w:spacing w:after="0" w:line="58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三、</w:t>
      </w:r>
      <w:r>
        <w:rPr>
          <w:rFonts w:ascii="Times New Roman" w:hAnsi="Times New Roman" w:eastAsia="方正仿宋_GBK"/>
          <w:color w:val="000000"/>
          <w:sz w:val="32"/>
          <w:szCs w:val="32"/>
        </w:rPr>
        <w:t>依法拥有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与申报</w:t>
      </w:r>
      <w:r>
        <w:rPr>
          <w:rFonts w:ascii="Times New Roman" w:hAnsi="Times New Roman" w:eastAsia="方正仿宋_GBK"/>
          <w:color w:val="000000"/>
          <w:sz w:val="32"/>
          <w:szCs w:val="32"/>
        </w:rPr>
        <w:t>装备直接相关的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发明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专利等自主知识产权，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无</w:t>
      </w:r>
      <w:r>
        <w:rPr>
          <w:rFonts w:ascii="Times New Roman" w:hAnsi="Times New Roman" w:eastAsia="方正仿宋_GBK"/>
          <w:color w:val="000000"/>
          <w:sz w:val="32"/>
          <w:szCs w:val="32"/>
        </w:rPr>
        <w:t>知识产权纠纷。</w:t>
      </w:r>
    </w:p>
    <w:p>
      <w:pPr>
        <w:widowControl w:val="0"/>
        <w:overflowPunct w:val="0"/>
        <w:autoSpaceDE w:val="0"/>
        <w:autoSpaceDN w:val="0"/>
        <w:adjustRightInd w:val="0"/>
        <w:spacing w:after="0"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四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经省级及</w:t>
      </w:r>
      <w:r>
        <w:rPr>
          <w:rFonts w:ascii="Times New Roman" w:hAnsi="Times New Roman" w:eastAsia="方正仿宋_GBK"/>
          <w:color w:val="000000"/>
          <w:sz w:val="32"/>
          <w:szCs w:val="32"/>
        </w:rPr>
        <w:t>以上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资质认定部门</w:t>
      </w:r>
      <w:r>
        <w:rPr>
          <w:rFonts w:ascii="Times New Roman" w:hAnsi="Times New Roman" w:eastAsia="方正仿宋_GBK"/>
          <w:color w:val="000000"/>
          <w:sz w:val="32"/>
          <w:szCs w:val="32"/>
        </w:rPr>
        <w:t>认定的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专业检验检测</w:t>
      </w:r>
      <w:r>
        <w:rPr>
          <w:rFonts w:ascii="Times New Roman" w:hAnsi="Times New Roman" w:eastAsia="方正仿宋_GBK"/>
          <w:color w:val="000000"/>
          <w:sz w:val="32"/>
          <w:szCs w:val="32"/>
        </w:rPr>
        <w:t>机构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针对装备性能指标</w:t>
      </w:r>
      <w:r>
        <w:rPr>
          <w:rFonts w:ascii="Times New Roman" w:hAnsi="Times New Roman" w:eastAsia="方正仿宋_GBK"/>
          <w:color w:val="000000"/>
          <w:sz w:val="32"/>
          <w:szCs w:val="32"/>
        </w:rPr>
        <w:t>检验检测</w:t>
      </w:r>
      <w:r>
        <w:rPr>
          <w:rFonts w:hint="eastAsia" w:ascii="Times New Roman" w:hAnsi="Times New Roman" w:eastAsia="方正仿宋_GBK"/>
          <w:sz w:val="32"/>
          <w:szCs w:val="32"/>
        </w:rPr>
        <w:t>，报告结论能够给予支持。</w:t>
      </w:r>
    </w:p>
    <w:p>
      <w:pPr>
        <w:widowControl w:val="0"/>
        <w:overflowPunct w:val="0"/>
        <w:autoSpaceDE w:val="0"/>
        <w:autoSpaceDN w:val="0"/>
        <w:adjustRightInd w:val="0"/>
        <w:spacing w:after="0"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五、经专业查新机构针对</w:t>
      </w:r>
      <w:r>
        <w:rPr>
          <w:rFonts w:ascii="Times New Roman" w:hAnsi="Times New Roman" w:eastAsia="方正仿宋_GBK"/>
          <w:sz w:val="32"/>
          <w:szCs w:val="32"/>
        </w:rPr>
        <w:t>性能</w:t>
      </w:r>
      <w:r>
        <w:rPr>
          <w:rFonts w:hint="eastAsia" w:ascii="Times New Roman" w:hAnsi="Times New Roman" w:eastAsia="方正仿宋_GBK"/>
          <w:sz w:val="32"/>
          <w:szCs w:val="32"/>
        </w:rPr>
        <w:t>突破等进行查新，查新结论能够给予支持。</w:t>
      </w:r>
    </w:p>
    <w:p>
      <w:pPr>
        <w:widowControl w:val="0"/>
        <w:overflowPunct w:val="0"/>
        <w:autoSpaceDE w:val="0"/>
        <w:autoSpaceDN w:val="0"/>
        <w:adjustRightInd w:val="0"/>
        <w:spacing w:after="0"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六、</w:t>
      </w:r>
      <w:r>
        <w:rPr>
          <w:rFonts w:ascii="Times New Roman" w:hAnsi="Times New Roman" w:eastAsia="方正仿宋_GBK"/>
          <w:sz w:val="32"/>
          <w:szCs w:val="32"/>
        </w:rPr>
        <w:t>按</w:t>
      </w:r>
      <w:r>
        <w:rPr>
          <w:rFonts w:hint="eastAsia" w:ascii="Times New Roman" w:hAnsi="Times New Roman" w:eastAsia="方正仿宋_GBK"/>
          <w:sz w:val="32"/>
          <w:szCs w:val="32"/>
        </w:rPr>
        <w:t>照</w:t>
      </w:r>
      <w:r>
        <w:rPr>
          <w:rFonts w:ascii="Times New Roman" w:hAnsi="Times New Roman" w:eastAsia="方正仿宋_GBK"/>
          <w:sz w:val="32"/>
          <w:szCs w:val="32"/>
        </w:rPr>
        <w:t>相关标准进行研制生产，其中企业标准</w:t>
      </w:r>
      <w:r>
        <w:rPr>
          <w:rFonts w:hint="eastAsia" w:ascii="Times New Roman" w:hAnsi="Times New Roman" w:eastAsia="方正仿宋_GBK"/>
          <w:sz w:val="32"/>
          <w:szCs w:val="32"/>
        </w:rPr>
        <w:t>应</w:t>
      </w:r>
      <w:r>
        <w:rPr>
          <w:rFonts w:ascii="Times New Roman" w:hAnsi="Times New Roman" w:eastAsia="方正仿宋_GBK"/>
          <w:sz w:val="32"/>
          <w:szCs w:val="32"/>
        </w:rPr>
        <w:t>按</w:t>
      </w:r>
      <w:r>
        <w:rPr>
          <w:rFonts w:hint="eastAsia" w:ascii="Times New Roman" w:hAnsi="Times New Roman" w:eastAsia="方正仿宋_GBK"/>
          <w:sz w:val="32"/>
          <w:szCs w:val="32"/>
        </w:rPr>
        <w:t>要求</w:t>
      </w:r>
      <w:r>
        <w:rPr>
          <w:rFonts w:ascii="Times New Roman" w:hAnsi="Times New Roman" w:eastAsia="方正仿宋_GBK"/>
          <w:sz w:val="32"/>
          <w:szCs w:val="32"/>
        </w:rPr>
        <w:t>备案。</w:t>
      </w:r>
    </w:p>
    <w:p>
      <w:pPr>
        <w:widowControl w:val="0"/>
        <w:overflowPunct w:val="0"/>
        <w:autoSpaceDE w:val="0"/>
        <w:autoSpaceDN w:val="0"/>
        <w:adjustRightInd w:val="0"/>
        <w:spacing w:after="0" w:line="580" w:lineRule="exact"/>
        <w:ind w:firstLine="640" w:firstLineChars="200"/>
        <w:rPr>
          <w:rFonts w:ascii="方正楷体_GBK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七、</w:t>
      </w:r>
      <w:r>
        <w:rPr>
          <w:rFonts w:ascii="Times New Roman" w:hAnsi="Times New Roman" w:eastAsia="方正仿宋_GBK"/>
          <w:sz w:val="32"/>
          <w:szCs w:val="32"/>
        </w:rPr>
        <w:t>经用户单位</w:t>
      </w:r>
      <w:r>
        <w:rPr>
          <w:rFonts w:hint="eastAsia" w:ascii="Times New Roman" w:hAnsi="Times New Roman" w:eastAsia="方正仿宋_GBK"/>
          <w:sz w:val="32"/>
          <w:szCs w:val="32"/>
        </w:rPr>
        <w:t>验证，</w:t>
      </w:r>
      <w:r>
        <w:rPr>
          <w:rFonts w:ascii="Times New Roman" w:hAnsi="Times New Roman" w:eastAsia="方正仿宋_GBK"/>
          <w:sz w:val="32"/>
          <w:szCs w:val="32"/>
        </w:rPr>
        <w:t>并出具</w:t>
      </w:r>
      <w:r>
        <w:rPr>
          <w:rFonts w:hint="eastAsia" w:ascii="Times New Roman" w:hAnsi="Times New Roman" w:eastAsia="方正仿宋_GBK"/>
          <w:sz w:val="32"/>
          <w:szCs w:val="32"/>
        </w:rPr>
        <w:t>使用</w:t>
      </w:r>
      <w:r>
        <w:rPr>
          <w:rFonts w:ascii="Times New Roman" w:hAnsi="Times New Roman" w:eastAsia="方正仿宋_GBK"/>
          <w:sz w:val="32"/>
          <w:szCs w:val="32"/>
        </w:rPr>
        <w:t>报告，报告结论能够给予支持。</w:t>
      </w:r>
    </w:p>
    <w:p>
      <w:pPr>
        <w:widowControl w:val="0"/>
        <w:overflowPunct w:val="0"/>
        <w:autoSpaceDE w:val="0"/>
        <w:autoSpaceDN w:val="0"/>
        <w:adjustRightInd w:val="0"/>
        <w:spacing w:after="0" w:line="580" w:lineRule="exact"/>
        <w:ind w:firstLine="640" w:firstLineChars="200"/>
        <w:rPr>
          <w:rFonts w:ascii="Times New Roman" w:hAnsi="Times New Roman" w:eastAsia="方正仿宋_GBK"/>
          <w:color w:val="FF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八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、</w:t>
      </w:r>
      <w:r>
        <w:rPr>
          <w:rFonts w:ascii="Times New Roman" w:hAnsi="Times New Roman" w:eastAsia="方正仿宋_GBK"/>
          <w:color w:val="FF0000"/>
          <w:sz w:val="32"/>
          <w:szCs w:val="32"/>
        </w:rPr>
        <w:t>属于国家特殊行业管理要求的</w:t>
      </w:r>
      <w:r>
        <w:rPr>
          <w:rFonts w:hint="eastAsia" w:ascii="Times New Roman" w:hAnsi="Times New Roman" w:eastAsia="方正仿宋_GBK"/>
          <w:color w:val="FF0000"/>
          <w:sz w:val="32"/>
          <w:szCs w:val="32"/>
        </w:rPr>
        <w:t>装备</w:t>
      </w:r>
      <w:r>
        <w:rPr>
          <w:rFonts w:ascii="Times New Roman" w:hAnsi="Times New Roman" w:eastAsia="方正仿宋_GBK"/>
          <w:color w:val="FF000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color w:val="FF0000"/>
          <w:sz w:val="32"/>
          <w:szCs w:val="32"/>
        </w:rPr>
        <w:t>必须</w:t>
      </w:r>
      <w:r>
        <w:rPr>
          <w:rFonts w:ascii="Times New Roman" w:hAnsi="Times New Roman" w:eastAsia="方正仿宋_GBK"/>
          <w:color w:val="FF0000"/>
          <w:sz w:val="32"/>
          <w:szCs w:val="32"/>
        </w:rPr>
        <w:t>具有相关主管部门批准颁发的产品生产许可证；属于国家实施强制性产品认证的</w:t>
      </w:r>
      <w:r>
        <w:rPr>
          <w:rFonts w:hint="eastAsia" w:ascii="Times New Roman" w:hAnsi="Times New Roman" w:eastAsia="方正仿宋_GBK"/>
          <w:color w:val="FF0000"/>
          <w:sz w:val="32"/>
          <w:szCs w:val="32"/>
        </w:rPr>
        <w:t>装备</w:t>
      </w:r>
      <w:r>
        <w:rPr>
          <w:rFonts w:ascii="Times New Roman" w:hAnsi="Times New Roman" w:eastAsia="方正仿宋_GBK"/>
          <w:color w:val="FF000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color w:val="FF0000"/>
          <w:sz w:val="32"/>
          <w:szCs w:val="32"/>
        </w:rPr>
        <w:t>必</w:t>
      </w:r>
      <w:r>
        <w:rPr>
          <w:rFonts w:ascii="Times New Roman" w:hAnsi="Times New Roman" w:eastAsia="方正仿宋_GBK"/>
          <w:color w:val="FF0000"/>
          <w:sz w:val="32"/>
          <w:szCs w:val="32"/>
        </w:rPr>
        <w:t>须通过强制性产品认证</w:t>
      </w:r>
      <w:r>
        <w:rPr>
          <w:rFonts w:hint="eastAsia" w:ascii="Times New Roman" w:hAnsi="Times New Roman" w:eastAsia="方正仿宋_GBK"/>
          <w:color w:val="FF0000"/>
          <w:sz w:val="32"/>
          <w:szCs w:val="32"/>
        </w:rPr>
        <w:t>。</w:t>
      </w:r>
    </w:p>
    <w:p>
      <w:pPr>
        <w:widowControl w:val="0"/>
        <w:overflowPunct w:val="0"/>
        <w:autoSpaceDE w:val="0"/>
        <w:autoSpaceDN w:val="0"/>
        <w:adjustRightInd w:val="0"/>
        <w:spacing w:after="0" w:line="580" w:lineRule="exact"/>
        <w:ind w:firstLine="640" w:firstLineChars="200"/>
        <w:rPr>
          <w:rFonts w:ascii="Times New Roman" w:hAnsi="Times New Roman" w:eastAsia="方正仿宋_GBK"/>
          <w:color w:val="FF0000"/>
          <w:sz w:val="32"/>
          <w:szCs w:val="32"/>
        </w:rPr>
      </w:pPr>
      <w:r>
        <w:rPr>
          <w:rFonts w:hint="eastAsia" w:ascii="Times New Roman" w:hAnsi="Times New Roman" w:eastAsia="方正仿宋_GBK"/>
          <w:color w:val="FF0000"/>
          <w:sz w:val="32"/>
          <w:szCs w:val="32"/>
        </w:rPr>
        <w:t>九</w:t>
      </w:r>
      <w:r>
        <w:rPr>
          <w:rFonts w:ascii="Times New Roman" w:hAnsi="Times New Roman" w:eastAsia="方正仿宋_GBK"/>
          <w:color w:val="FF0000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color w:val="FF0000"/>
          <w:sz w:val="32"/>
          <w:szCs w:val="32"/>
        </w:rPr>
        <w:t>国家</w:t>
      </w:r>
      <w:r>
        <w:rPr>
          <w:rFonts w:ascii="Times New Roman" w:hAnsi="Times New Roman" w:eastAsia="方正仿宋_GBK"/>
          <w:color w:val="FF0000"/>
          <w:sz w:val="32"/>
          <w:szCs w:val="32"/>
        </w:rPr>
        <w:t>和省</w:t>
      </w:r>
      <w:r>
        <w:rPr>
          <w:rFonts w:hint="eastAsia" w:ascii="Times New Roman" w:hAnsi="Times New Roman" w:eastAsia="方正仿宋_GBK"/>
          <w:color w:val="FF0000"/>
          <w:sz w:val="32"/>
          <w:szCs w:val="32"/>
        </w:rPr>
        <w:t>产业链协同创新、</w:t>
      </w:r>
      <w:r>
        <w:rPr>
          <w:rFonts w:ascii="Times New Roman" w:hAnsi="Times New Roman" w:eastAsia="方正仿宋_GBK"/>
          <w:color w:val="FF0000"/>
          <w:sz w:val="32"/>
          <w:szCs w:val="32"/>
        </w:rPr>
        <w:t>关键</w:t>
      </w:r>
      <w:r>
        <w:rPr>
          <w:rFonts w:hint="eastAsia" w:ascii="Times New Roman" w:hAnsi="Times New Roman" w:eastAsia="方正仿宋_GBK"/>
          <w:color w:val="FF0000"/>
          <w:sz w:val="32"/>
          <w:szCs w:val="32"/>
        </w:rPr>
        <w:t>核心</w:t>
      </w:r>
      <w:r>
        <w:rPr>
          <w:rFonts w:ascii="Times New Roman" w:hAnsi="Times New Roman" w:eastAsia="方正仿宋_GBK"/>
          <w:color w:val="FF0000"/>
          <w:sz w:val="32"/>
          <w:szCs w:val="32"/>
        </w:rPr>
        <w:t>技术</w:t>
      </w:r>
      <w:r>
        <w:rPr>
          <w:rFonts w:hint="eastAsia" w:ascii="Times New Roman" w:hAnsi="Times New Roman" w:eastAsia="方正仿宋_GBK"/>
          <w:color w:val="FF0000"/>
          <w:sz w:val="32"/>
          <w:szCs w:val="32"/>
        </w:rPr>
        <w:t>（装备）</w:t>
      </w:r>
      <w:r>
        <w:rPr>
          <w:rFonts w:ascii="Times New Roman" w:hAnsi="Times New Roman" w:eastAsia="方正仿宋_GBK"/>
          <w:color w:val="FF0000"/>
          <w:sz w:val="32"/>
          <w:szCs w:val="32"/>
        </w:rPr>
        <w:t>攻关、</w:t>
      </w:r>
      <w:r>
        <w:rPr>
          <w:rFonts w:hint="eastAsia" w:ascii="Times New Roman" w:hAnsi="Times New Roman" w:eastAsia="方正仿宋_GBK"/>
          <w:color w:val="FF0000"/>
          <w:sz w:val="32"/>
          <w:szCs w:val="32"/>
        </w:rPr>
        <w:t>高端</w:t>
      </w:r>
      <w:r>
        <w:rPr>
          <w:rFonts w:ascii="Times New Roman" w:hAnsi="Times New Roman" w:eastAsia="方正仿宋_GBK"/>
          <w:color w:val="FF0000"/>
          <w:sz w:val="32"/>
          <w:szCs w:val="32"/>
        </w:rPr>
        <w:t>装备研制</w:t>
      </w:r>
      <w:r>
        <w:rPr>
          <w:rFonts w:hint="eastAsia" w:ascii="Times New Roman" w:hAnsi="Times New Roman" w:eastAsia="方正仿宋_GBK"/>
          <w:color w:val="FF0000"/>
          <w:sz w:val="32"/>
          <w:szCs w:val="32"/>
        </w:rPr>
        <w:t>工程等</w:t>
      </w:r>
      <w:r>
        <w:rPr>
          <w:rFonts w:ascii="Times New Roman" w:hAnsi="Times New Roman" w:eastAsia="方正仿宋_GBK"/>
          <w:color w:val="FF0000"/>
          <w:sz w:val="32"/>
          <w:szCs w:val="32"/>
        </w:rPr>
        <w:t>项目</w:t>
      </w:r>
      <w:r>
        <w:rPr>
          <w:rFonts w:hint="eastAsia" w:ascii="Times New Roman" w:hAnsi="Times New Roman" w:eastAsia="方正仿宋_GBK"/>
          <w:color w:val="FF0000"/>
          <w:sz w:val="32"/>
          <w:szCs w:val="32"/>
        </w:rPr>
        <w:t>的</w:t>
      </w:r>
      <w:r>
        <w:rPr>
          <w:rFonts w:ascii="Times New Roman" w:hAnsi="Times New Roman" w:eastAsia="方正仿宋_GBK"/>
          <w:color w:val="FF0000"/>
          <w:sz w:val="32"/>
          <w:szCs w:val="32"/>
        </w:rPr>
        <w:t>研发成果</w:t>
      </w:r>
      <w:r>
        <w:rPr>
          <w:rFonts w:hint="eastAsia" w:ascii="Times New Roman" w:hAnsi="Times New Roman" w:eastAsia="方正仿宋_GBK"/>
          <w:color w:val="FF0000"/>
          <w:sz w:val="32"/>
          <w:szCs w:val="32"/>
        </w:rPr>
        <w:t>可</w:t>
      </w:r>
      <w:r>
        <w:rPr>
          <w:rFonts w:ascii="Times New Roman" w:hAnsi="Times New Roman" w:eastAsia="方正仿宋_GBK"/>
          <w:color w:val="FF0000"/>
          <w:sz w:val="32"/>
          <w:szCs w:val="32"/>
        </w:rPr>
        <w:t>优先予以认定；</w:t>
      </w:r>
      <w:r>
        <w:rPr>
          <w:rFonts w:hint="eastAsia" w:ascii="Times New Roman" w:hAnsi="Times New Roman" w:eastAsia="方正仿宋_GBK"/>
          <w:color w:val="FF0000"/>
          <w:sz w:val="32"/>
          <w:szCs w:val="32"/>
        </w:rPr>
        <w:t>已有同</w:t>
      </w:r>
      <w:r>
        <w:rPr>
          <w:rFonts w:ascii="Times New Roman" w:hAnsi="Times New Roman" w:eastAsia="方正仿宋_GBK"/>
          <w:color w:val="FF0000"/>
          <w:sz w:val="32"/>
          <w:szCs w:val="32"/>
        </w:rPr>
        <w:t>系列型号产品</w:t>
      </w:r>
      <w:r>
        <w:rPr>
          <w:rFonts w:hint="eastAsia" w:ascii="Times New Roman" w:hAnsi="Times New Roman" w:eastAsia="方正仿宋_GBK"/>
          <w:color w:val="FF0000"/>
          <w:sz w:val="32"/>
          <w:szCs w:val="32"/>
        </w:rPr>
        <w:t>通过</w:t>
      </w:r>
      <w:r>
        <w:rPr>
          <w:rFonts w:ascii="Times New Roman" w:hAnsi="Times New Roman" w:eastAsia="方正仿宋_GBK"/>
          <w:color w:val="FF0000"/>
          <w:sz w:val="32"/>
          <w:szCs w:val="32"/>
        </w:rPr>
        <w:t>认定的，原则上不再予以</w:t>
      </w:r>
      <w:r>
        <w:rPr>
          <w:rFonts w:hint="eastAsia" w:ascii="Times New Roman" w:hAnsi="Times New Roman" w:eastAsia="方正仿宋_GBK"/>
          <w:color w:val="FF0000"/>
          <w:sz w:val="32"/>
          <w:szCs w:val="32"/>
        </w:rPr>
        <w:t>认定。</w:t>
      </w:r>
    </w:p>
    <w:p>
      <w:pPr>
        <w:widowControl w:val="0"/>
        <w:overflowPunct w:val="0"/>
        <w:autoSpaceDE w:val="0"/>
        <w:autoSpaceDN w:val="0"/>
        <w:adjustRightInd w:val="0"/>
        <w:spacing w:after="0" w:line="58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widowControl w:val="0"/>
        <w:overflowPunct w:val="0"/>
        <w:spacing w:after="0" w:line="580" w:lineRule="exact"/>
        <w:ind w:firstLine="640" w:firstLineChars="200"/>
        <w:jc w:val="center"/>
        <w:rPr>
          <w:rFonts w:ascii="方正黑体_GBK" w:hAnsi="Times New Roman" w:eastAsia="方正黑体_GBK"/>
          <w:color w:val="000000"/>
          <w:sz w:val="32"/>
          <w:szCs w:val="32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</w:rPr>
        <w:t>第三章 认定程序</w:t>
      </w:r>
    </w:p>
    <w:p>
      <w:pPr>
        <w:widowControl w:val="0"/>
        <w:overflowPunct w:val="0"/>
        <w:spacing w:after="0" w:line="58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第六条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省</w:t>
      </w:r>
      <w:r>
        <w:rPr>
          <w:rFonts w:ascii="Times New Roman" w:hAnsi="Times New Roman" w:eastAsia="方正仿宋_GBK"/>
          <w:color w:val="000000"/>
          <w:sz w:val="32"/>
          <w:szCs w:val="32"/>
        </w:rPr>
        <w:t>工业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和信息化厅</w:t>
      </w:r>
      <w:r>
        <w:rPr>
          <w:rFonts w:ascii="Times New Roman" w:hAnsi="Times New Roman" w:eastAsia="方正仿宋_GBK"/>
          <w:color w:val="000000"/>
          <w:sz w:val="32"/>
          <w:szCs w:val="32"/>
        </w:rPr>
        <w:t>按本细则发布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申报</w:t>
      </w:r>
      <w:r>
        <w:rPr>
          <w:rFonts w:ascii="Times New Roman" w:hAnsi="Times New Roman" w:eastAsia="方正仿宋_GBK"/>
          <w:color w:val="000000"/>
          <w:sz w:val="32"/>
          <w:szCs w:val="32"/>
        </w:rPr>
        <w:t>通知。申请单位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根据</w:t>
      </w:r>
      <w:r>
        <w:rPr>
          <w:rFonts w:ascii="Times New Roman" w:hAnsi="Times New Roman" w:eastAsia="方正仿宋_GBK"/>
          <w:color w:val="000000"/>
          <w:sz w:val="32"/>
          <w:szCs w:val="32"/>
        </w:rPr>
        <w:t>属地管理原则向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所在县（市、区）工业和信息化主管部门提出申请，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按要求提供申报材料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，并</w:t>
      </w:r>
      <w:r>
        <w:rPr>
          <w:rFonts w:ascii="Times New Roman" w:hAnsi="Times New Roman" w:eastAsia="方正仿宋_GBK"/>
          <w:color w:val="000000"/>
          <w:sz w:val="32"/>
          <w:szCs w:val="32"/>
        </w:rPr>
        <w:t>对材料的真实性负责。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所在县（市、区）工业和信息化主管部门按要求进行初审，同意后行文推荐至设区市工业和信息化局。设区市工业和信息化局负责</w:t>
      </w:r>
      <w:r>
        <w:rPr>
          <w:rFonts w:ascii="Times New Roman" w:hAnsi="Times New Roman" w:eastAsia="方正仿宋_GBK"/>
          <w:color w:val="000000"/>
          <w:sz w:val="32"/>
          <w:szCs w:val="32"/>
        </w:rPr>
        <w:t>对辖区内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申报</w:t>
      </w:r>
      <w:r>
        <w:rPr>
          <w:rFonts w:ascii="Times New Roman" w:hAnsi="Times New Roman" w:eastAsia="方正仿宋_GBK"/>
          <w:color w:val="000000"/>
          <w:sz w:val="32"/>
          <w:szCs w:val="32"/>
        </w:rPr>
        <w:t>材料进行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审核，同意后行文报送至省工业和信息化厅。</w:t>
      </w:r>
    </w:p>
    <w:p>
      <w:pPr>
        <w:widowControl w:val="0"/>
        <w:overflowPunct w:val="0"/>
        <w:adjustRightInd w:val="0"/>
        <w:spacing w:after="0" w:line="580" w:lineRule="exact"/>
        <w:ind w:firstLine="640" w:firstLineChars="200"/>
        <w:jc w:val="both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第七条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省工业和信息化厅对申报材料进行形式审查，对通过形式审查的装备组织专家进行材料</w:t>
      </w:r>
      <w:r>
        <w:rPr>
          <w:rFonts w:ascii="Times New Roman" w:hAnsi="Times New Roman" w:eastAsia="方正仿宋_GBK"/>
          <w:color w:val="000000"/>
          <w:sz w:val="32"/>
          <w:szCs w:val="32"/>
        </w:rPr>
        <w:t>评审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通过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材料</w:t>
      </w:r>
      <w:r>
        <w:rPr>
          <w:rFonts w:ascii="Times New Roman" w:hAnsi="Times New Roman" w:eastAsia="方正仿宋_GBK"/>
          <w:color w:val="000000"/>
          <w:sz w:val="32"/>
          <w:szCs w:val="32"/>
        </w:rPr>
        <w:t>评审的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逐项</w:t>
      </w:r>
      <w:r>
        <w:rPr>
          <w:rFonts w:ascii="Times New Roman" w:hAnsi="Times New Roman" w:eastAsia="方正仿宋_GBK"/>
          <w:color w:val="000000"/>
          <w:sz w:val="32"/>
          <w:szCs w:val="32"/>
        </w:rPr>
        <w:t>组织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专家现场核查。</w:t>
      </w:r>
    </w:p>
    <w:p>
      <w:pPr>
        <w:widowControl w:val="0"/>
        <w:overflowPunct w:val="0"/>
        <w:adjustRightInd w:val="0"/>
        <w:spacing w:after="0" w:line="58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第八条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根据</w:t>
      </w:r>
      <w:r>
        <w:rPr>
          <w:rFonts w:ascii="Times New Roman" w:hAnsi="Times New Roman" w:eastAsia="仿宋"/>
          <w:color w:val="000000"/>
          <w:sz w:val="32"/>
          <w:szCs w:val="32"/>
        </w:rPr>
        <w:t>现场核查结果，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省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工业和信息化厅</w:t>
      </w:r>
      <w:r>
        <w:rPr>
          <w:rFonts w:ascii="Times New Roman" w:hAnsi="Times New Roman" w:eastAsia="方正仿宋_GBK"/>
          <w:color w:val="000000"/>
          <w:sz w:val="32"/>
          <w:szCs w:val="32"/>
        </w:rPr>
        <w:t>研究确定首台套认定名单，并进行网上公示，公示期为5个工作日。公示期满无异议的，省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工业和信息化厅予以公告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首台套</w:t>
      </w:r>
      <w:r>
        <w:rPr>
          <w:rFonts w:ascii="Times New Roman" w:hAnsi="Times New Roman" w:eastAsia="方正仿宋_GBK"/>
          <w:color w:val="000000"/>
          <w:sz w:val="32"/>
          <w:szCs w:val="32"/>
        </w:rPr>
        <w:t>自公告之日起三年内有效。</w:t>
      </w:r>
    </w:p>
    <w:p>
      <w:pPr>
        <w:widowControl w:val="0"/>
        <w:overflowPunct w:val="0"/>
        <w:spacing w:after="0" w:line="580" w:lineRule="exact"/>
        <w:ind w:firstLine="640" w:firstLineChars="200"/>
        <w:jc w:val="center"/>
        <w:rPr>
          <w:rFonts w:ascii="方正黑体_GBK" w:hAnsi="Times New Roman" w:eastAsia="方正黑体_GBK"/>
          <w:color w:val="000000"/>
          <w:sz w:val="32"/>
          <w:szCs w:val="32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</w:rPr>
        <w:t>第四章 监督管理</w:t>
      </w:r>
    </w:p>
    <w:p>
      <w:pPr>
        <w:widowControl w:val="0"/>
        <w:overflowPunct w:val="0"/>
        <w:adjustRightInd w:val="0"/>
        <w:spacing w:after="0" w:line="580" w:lineRule="exact"/>
        <w:ind w:firstLine="640" w:firstLineChars="200"/>
        <w:jc w:val="both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第九条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color w:val="000000"/>
          <w:sz w:val="32"/>
          <w:szCs w:val="32"/>
        </w:rPr>
        <w:t>申请单位应严格按照首台套认定的相关条件和要求，对申请材料的真实性负责，不得弄虚作假。对申请单位不符合首台套申报条件和要求、通过非正当手段骗取认定的，一经查实将撤销认定，并列入失信记录。</w:t>
      </w:r>
    </w:p>
    <w:p>
      <w:pPr>
        <w:widowControl w:val="0"/>
        <w:overflowPunct w:val="0"/>
        <w:adjustRightInd w:val="0"/>
        <w:spacing w:after="0" w:line="580" w:lineRule="exact"/>
        <w:ind w:firstLine="640" w:firstLineChars="200"/>
        <w:jc w:val="both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第十条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color w:val="000000"/>
          <w:sz w:val="32"/>
          <w:szCs w:val="32"/>
        </w:rPr>
        <w:t>各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级工业和信息化主管部门</w:t>
      </w:r>
      <w:r>
        <w:rPr>
          <w:rFonts w:ascii="Times New Roman" w:hAnsi="Times New Roman" w:eastAsia="方正仿宋_GBK"/>
          <w:color w:val="000000"/>
          <w:sz w:val="32"/>
          <w:szCs w:val="32"/>
        </w:rPr>
        <w:t>应加强对首台套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认定</w:t>
      </w:r>
      <w:r>
        <w:rPr>
          <w:rFonts w:ascii="Times New Roman" w:hAnsi="Times New Roman" w:eastAsia="方正仿宋_GBK"/>
          <w:color w:val="000000"/>
          <w:sz w:val="32"/>
          <w:szCs w:val="32"/>
        </w:rPr>
        <w:t>申请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、</w:t>
      </w:r>
      <w:r>
        <w:rPr>
          <w:rFonts w:ascii="Times New Roman" w:hAnsi="Times New Roman" w:eastAsia="方正仿宋_GBK"/>
          <w:color w:val="000000"/>
          <w:sz w:val="32"/>
          <w:szCs w:val="32"/>
        </w:rPr>
        <w:t>审核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的组织管理</w:t>
      </w:r>
      <w:r>
        <w:rPr>
          <w:rFonts w:ascii="Times New Roman" w:hAnsi="Times New Roman" w:eastAsia="方正仿宋_GBK"/>
          <w:color w:val="000000"/>
          <w:sz w:val="32"/>
          <w:szCs w:val="32"/>
        </w:rPr>
        <w:t>工作，配合做好本地区首台套跟踪服务工作。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对审核</w:t>
      </w:r>
      <w:r>
        <w:rPr>
          <w:rFonts w:ascii="Times New Roman" w:hAnsi="Times New Roman" w:eastAsia="方正仿宋_GBK"/>
          <w:color w:val="000000"/>
          <w:sz w:val="32"/>
          <w:szCs w:val="32"/>
        </w:rPr>
        <w:t>把关不严，造成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骗取</w:t>
      </w:r>
      <w:r>
        <w:rPr>
          <w:rFonts w:ascii="Times New Roman" w:hAnsi="Times New Roman" w:eastAsia="方正仿宋_GBK"/>
          <w:color w:val="000000"/>
          <w:sz w:val="32"/>
          <w:szCs w:val="32"/>
        </w:rPr>
        <w:t>认定或其它重大损失的，省工业和信息化厅将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对</w:t>
      </w:r>
      <w:r>
        <w:rPr>
          <w:rFonts w:ascii="Times New Roman" w:hAnsi="Times New Roman" w:eastAsia="方正仿宋_GBK"/>
          <w:color w:val="000000"/>
          <w:sz w:val="32"/>
          <w:szCs w:val="32"/>
        </w:rPr>
        <w:t>相关地方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部门</w:t>
      </w:r>
      <w:r>
        <w:rPr>
          <w:rFonts w:ascii="Times New Roman" w:hAnsi="Times New Roman" w:eastAsia="方正仿宋_GBK"/>
          <w:color w:val="000000"/>
          <w:sz w:val="32"/>
          <w:szCs w:val="32"/>
        </w:rPr>
        <w:t>通报批评，并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督促</w:t>
      </w:r>
      <w:r>
        <w:rPr>
          <w:rFonts w:ascii="Times New Roman" w:hAnsi="Times New Roman" w:eastAsia="方正仿宋_GBK"/>
          <w:color w:val="000000"/>
          <w:sz w:val="32"/>
          <w:szCs w:val="32"/>
        </w:rPr>
        <w:t>相关地区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进行</w:t>
      </w:r>
      <w:r>
        <w:rPr>
          <w:rFonts w:ascii="Times New Roman" w:hAnsi="Times New Roman" w:eastAsia="方正仿宋_GBK"/>
          <w:color w:val="000000"/>
          <w:sz w:val="32"/>
          <w:szCs w:val="32"/>
        </w:rPr>
        <w:t>整改。</w:t>
      </w:r>
    </w:p>
    <w:p>
      <w:pPr>
        <w:widowControl w:val="0"/>
        <w:overflowPunct w:val="0"/>
        <w:adjustRightInd w:val="0"/>
        <w:spacing w:after="0" w:line="580" w:lineRule="exact"/>
        <w:ind w:firstLine="640" w:firstLineChars="200"/>
        <w:jc w:val="both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第十一条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参与首台套认定工作的评审专家应严格遵守工作纪律和保密要求，主动接受各级工业和信息化主管部门和申请单位的监督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t>。对违反有关工作纪律要求，造成严重后果或不良影响的，取消其专家资格，并将相关行为纳入省个人信用基础库；违反国家法律法规的，提请相关</w:t>
      </w: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部门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t>依法追究其法律责任。</w:t>
      </w:r>
    </w:p>
    <w:p>
      <w:pPr>
        <w:widowControl w:val="0"/>
        <w:overflowPunct w:val="0"/>
        <w:spacing w:after="0" w:line="580" w:lineRule="exact"/>
        <w:ind w:firstLine="640" w:firstLineChars="200"/>
        <w:jc w:val="center"/>
        <w:rPr>
          <w:rFonts w:ascii="方正黑体_GBK" w:hAnsi="Times New Roman" w:eastAsia="方正黑体_GBK"/>
          <w:color w:val="000000"/>
          <w:sz w:val="32"/>
          <w:szCs w:val="32"/>
        </w:rPr>
      </w:pPr>
    </w:p>
    <w:p>
      <w:pPr>
        <w:widowControl w:val="0"/>
        <w:overflowPunct w:val="0"/>
        <w:spacing w:after="0" w:line="580" w:lineRule="exact"/>
        <w:ind w:firstLine="640" w:firstLineChars="200"/>
        <w:jc w:val="center"/>
        <w:rPr>
          <w:rFonts w:ascii="方正黑体_GBK" w:hAnsi="Times New Roman" w:eastAsia="方正黑体_GBK"/>
          <w:color w:val="000000"/>
          <w:sz w:val="32"/>
          <w:szCs w:val="32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</w:rPr>
        <w:t>第五章 附则</w:t>
      </w:r>
    </w:p>
    <w:p>
      <w:pPr>
        <w:widowControl w:val="0"/>
        <w:overflowPunct w:val="0"/>
        <w:adjustRightInd w:val="0"/>
        <w:spacing w:after="0" w:line="580" w:lineRule="exact"/>
        <w:ind w:firstLine="640" w:firstLineChars="200"/>
        <w:jc w:val="both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第十二条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color w:val="000000"/>
          <w:sz w:val="32"/>
          <w:szCs w:val="32"/>
        </w:rPr>
        <w:t>省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工业和信息化厅</w:t>
      </w:r>
      <w:r>
        <w:rPr>
          <w:rFonts w:ascii="Times New Roman" w:hAnsi="Times New Roman" w:eastAsia="方正仿宋_GBK"/>
          <w:color w:val="000000"/>
          <w:sz w:val="32"/>
          <w:szCs w:val="32"/>
        </w:rPr>
        <w:t>对已认定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的</w:t>
      </w:r>
      <w:r>
        <w:rPr>
          <w:rFonts w:ascii="Times New Roman" w:hAnsi="Times New Roman" w:eastAsia="方正仿宋_GBK"/>
          <w:color w:val="000000"/>
          <w:sz w:val="32"/>
          <w:szCs w:val="32"/>
        </w:rPr>
        <w:t>首台套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进行</w:t>
      </w:r>
      <w:r>
        <w:rPr>
          <w:rFonts w:ascii="Times New Roman" w:hAnsi="Times New Roman" w:eastAsia="方正仿宋_GBK"/>
          <w:color w:val="000000"/>
          <w:sz w:val="32"/>
          <w:szCs w:val="32"/>
        </w:rPr>
        <w:t>跟踪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服务，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积极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将符合</w:t>
      </w:r>
      <w:r>
        <w:rPr>
          <w:rFonts w:ascii="Times New Roman" w:hAnsi="Times New Roman" w:eastAsia="方正仿宋_GBK"/>
          <w:color w:val="000000"/>
          <w:sz w:val="32"/>
          <w:szCs w:val="32"/>
        </w:rPr>
        <w:t>条件的首台套产品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纳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入政府采购创新产品目录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。</w:t>
      </w:r>
    </w:p>
    <w:p>
      <w:pPr>
        <w:widowControl w:val="0"/>
        <w:overflowPunct w:val="0"/>
        <w:adjustRightInd w:val="0"/>
        <w:spacing w:after="0" w:line="580" w:lineRule="exact"/>
        <w:ind w:firstLine="640" w:firstLineChars="200"/>
        <w:rPr>
          <w:rFonts w:ascii="方正仿宋_GBK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第十三条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color w:val="000000"/>
          <w:sz w:val="32"/>
          <w:szCs w:val="32"/>
        </w:rPr>
        <w:t>各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级工业和信息化主管部门应</w:t>
      </w:r>
      <w:r>
        <w:rPr>
          <w:rFonts w:ascii="Times New Roman" w:hAnsi="Times New Roman" w:eastAsia="方正仿宋_GBK"/>
          <w:color w:val="000000"/>
          <w:sz w:val="32"/>
          <w:szCs w:val="32"/>
        </w:rPr>
        <w:t>积极支持首台套研发和推广应用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，鼓励装备研制单位主动购买首台套保险，提高用户单位应用积极性。</w:t>
      </w:r>
    </w:p>
    <w:p>
      <w:pPr>
        <w:widowControl w:val="0"/>
        <w:overflowPunct w:val="0"/>
        <w:adjustRightInd w:val="0"/>
        <w:spacing w:after="0" w:line="58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第十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>四</w:t>
      </w:r>
      <w:r>
        <w:rPr>
          <w:rFonts w:ascii="Times New Roman" w:hAnsi="Times New Roman" w:eastAsia="楷体_GB2312"/>
          <w:color w:val="000000"/>
          <w:sz w:val="32"/>
          <w:szCs w:val="32"/>
        </w:rPr>
        <w:t>条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color w:val="000000"/>
          <w:sz w:val="32"/>
          <w:szCs w:val="32"/>
        </w:rPr>
        <w:t>本细则自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2020年10月31日起</w:t>
      </w:r>
      <w:r>
        <w:rPr>
          <w:rFonts w:ascii="Times New Roman" w:hAnsi="Times New Roman" w:eastAsia="方正仿宋_GBK"/>
          <w:color w:val="000000"/>
          <w:sz w:val="32"/>
          <w:szCs w:val="32"/>
        </w:rPr>
        <w:t>施行。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原《江苏省首台（套）重大装备认定管理实施细则（2018年修订）》同时废止。</w:t>
      </w:r>
    </w:p>
    <w:p>
      <w:pPr>
        <w:widowControl w:val="0"/>
        <w:overflowPunct w:val="0"/>
        <w:adjustRightInd w:val="0"/>
        <w:spacing w:after="0" w:line="58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814" w:right="1531" w:bottom="1985" w:left="1531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楷体_GB2312"/>
          <w:color w:val="000000"/>
          <w:sz w:val="32"/>
          <w:szCs w:val="32"/>
        </w:rPr>
        <w:t>第十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>五</w:t>
      </w:r>
      <w:r>
        <w:rPr>
          <w:rFonts w:ascii="Times New Roman" w:hAnsi="Times New Roman" w:eastAsia="楷体_GB2312"/>
          <w:color w:val="000000"/>
          <w:sz w:val="32"/>
          <w:szCs w:val="32"/>
        </w:rPr>
        <w:t>条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color w:val="000000"/>
          <w:sz w:val="32"/>
          <w:szCs w:val="32"/>
        </w:rPr>
        <w:t>本细则由省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工业和信息化厅</w:t>
      </w:r>
      <w:r>
        <w:rPr>
          <w:rFonts w:ascii="Times New Roman" w:hAnsi="Times New Roman" w:eastAsia="方正仿宋_GBK"/>
          <w:color w:val="000000"/>
          <w:sz w:val="32"/>
          <w:szCs w:val="32"/>
        </w:rPr>
        <w:t>负责解释。</w:t>
      </w:r>
    </w:p>
    <w:p>
      <w:pPr>
        <w:spacing w:after="0" w:line="240" w:lineRule="auto"/>
        <w:rPr>
          <w:rFonts w:ascii="Times New Roman" w:hAnsi="Times New Roman" w:eastAsia="方正仿宋_GBK"/>
          <w:color w:val="000000"/>
          <w:sz w:val="32"/>
          <w:szCs w:val="32"/>
        </w:rPr>
      </w:pPr>
    </w:p>
    <w:sectPr>
      <w:pgSz w:w="11906" w:h="16838"/>
      <w:pgMar w:top="1247" w:right="1531" w:bottom="1247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1858092"/>
      <w:docPartObj>
        <w:docPartGallery w:val="AutoText"/>
      </w:docPartObj>
    </w:sdtPr>
    <w:sdtEndPr>
      <w:rPr>
        <w:rFonts w:hint="eastAsia" w:ascii="方正仿宋_GBK" w:eastAsia="方正仿宋_GBK"/>
        <w:sz w:val="32"/>
        <w:szCs w:val="32"/>
      </w:rPr>
    </w:sdtEndPr>
    <w:sdtContent>
      <w:p>
        <w:pPr>
          <w:pStyle w:val="3"/>
          <w:numPr>
            <w:ilvl w:val="0"/>
            <w:numId w:val="1"/>
          </w:numPr>
          <w:jc w:val="center"/>
          <w:rPr>
            <w:rFonts w:ascii="方正仿宋_GBK" w:eastAsia="方正仿宋_GBK"/>
            <w:sz w:val="32"/>
            <w:szCs w:val="32"/>
          </w:rPr>
        </w:pPr>
        <w:r>
          <w:rPr>
            <w:rFonts w:hint="eastAsia"/>
          </w:rPr>
          <w:t xml:space="preserve"> </w:t>
        </w:r>
        <w:r>
          <w:rPr>
            <w:rFonts w:hint="eastAsia" w:ascii="方正仿宋_GBK" w:eastAsia="方正仿宋_GBK"/>
            <w:sz w:val="32"/>
            <w:szCs w:val="32"/>
          </w:rPr>
          <w:fldChar w:fldCharType="begin"/>
        </w:r>
        <w:r>
          <w:rPr>
            <w:rFonts w:hint="eastAsia" w:ascii="方正仿宋_GBK" w:eastAsia="方正仿宋_GBK"/>
            <w:sz w:val="32"/>
            <w:szCs w:val="32"/>
          </w:rPr>
          <w:instrText xml:space="preserve">PAGE   \* MERGEFORMAT</w:instrText>
        </w:r>
        <w:r>
          <w:rPr>
            <w:rFonts w:hint="eastAsia" w:ascii="方正仿宋_GBK" w:eastAsia="方正仿宋_GBK"/>
            <w:sz w:val="32"/>
            <w:szCs w:val="32"/>
          </w:rPr>
          <w:fldChar w:fldCharType="separate"/>
        </w:r>
        <w:r>
          <w:rPr>
            <w:rFonts w:ascii="方正仿宋_GBK" w:eastAsia="方正仿宋_GBK"/>
            <w:sz w:val="32"/>
            <w:szCs w:val="32"/>
            <w:lang w:val="zh-CN"/>
          </w:rPr>
          <w:t>3</w:t>
        </w:r>
        <w:r>
          <w:rPr>
            <w:rFonts w:hint="eastAsia" w:ascii="方正仿宋_GBK" w:eastAsia="方正仿宋_GBK"/>
            <w:sz w:val="32"/>
            <w:szCs w:val="32"/>
          </w:rPr>
          <w:fldChar w:fldCharType="end"/>
        </w:r>
        <w:r>
          <w:rPr>
            <w:rFonts w:hint="eastAsia" w:ascii="方正仿宋_GBK" w:eastAsia="方正仿宋_GBK"/>
            <w:sz w:val="32"/>
            <w:szCs w:val="32"/>
          </w:rPr>
          <w:t xml:space="preserve"> —</w:t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9333B"/>
    <w:multiLevelType w:val="multilevel"/>
    <w:tmpl w:val="5A29333B"/>
    <w:lvl w:ilvl="0" w:tentative="0">
      <w:start w:val="3"/>
      <w:numFmt w:val="bullet"/>
      <w:lvlText w:val="—"/>
      <w:lvlJc w:val="left"/>
      <w:pPr>
        <w:ind w:left="360" w:hanging="360"/>
      </w:pPr>
      <w:rPr>
        <w:rFonts w:hint="eastAsia" w:ascii="方正仿宋_GBK" w:hAnsi="Calibri" w:eastAsia="方正仿宋_GBK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A2"/>
    <w:rsid w:val="00000193"/>
    <w:rsid w:val="00001E53"/>
    <w:rsid w:val="0000234F"/>
    <w:rsid w:val="00002455"/>
    <w:rsid w:val="000148A9"/>
    <w:rsid w:val="00034614"/>
    <w:rsid w:val="00044AC0"/>
    <w:rsid w:val="00050377"/>
    <w:rsid w:val="00053690"/>
    <w:rsid w:val="000549A9"/>
    <w:rsid w:val="00064A6F"/>
    <w:rsid w:val="000664D8"/>
    <w:rsid w:val="00067BD1"/>
    <w:rsid w:val="000717CB"/>
    <w:rsid w:val="0008141D"/>
    <w:rsid w:val="000919F5"/>
    <w:rsid w:val="00092305"/>
    <w:rsid w:val="0009429A"/>
    <w:rsid w:val="000A4452"/>
    <w:rsid w:val="000A6073"/>
    <w:rsid w:val="000A64F0"/>
    <w:rsid w:val="000B1FC2"/>
    <w:rsid w:val="000C01BA"/>
    <w:rsid w:val="000C6445"/>
    <w:rsid w:val="000E519B"/>
    <w:rsid w:val="000F1F3E"/>
    <w:rsid w:val="00126B2A"/>
    <w:rsid w:val="001319EA"/>
    <w:rsid w:val="0013288F"/>
    <w:rsid w:val="0013780C"/>
    <w:rsid w:val="001401CC"/>
    <w:rsid w:val="001522C3"/>
    <w:rsid w:val="00162C92"/>
    <w:rsid w:val="00164DA5"/>
    <w:rsid w:val="00167C8E"/>
    <w:rsid w:val="001711A8"/>
    <w:rsid w:val="00172382"/>
    <w:rsid w:val="00175874"/>
    <w:rsid w:val="00180547"/>
    <w:rsid w:val="001813F9"/>
    <w:rsid w:val="0018483B"/>
    <w:rsid w:val="001858FC"/>
    <w:rsid w:val="0018604C"/>
    <w:rsid w:val="00190B52"/>
    <w:rsid w:val="001B242A"/>
    <w:rsid w:val="001D2EE7"/>
    <w:rsid w:val="001D35A6"/>
    <w:rsid w:val="001F0A9D"/>
    <w:rsid w:val="00220665"/>
    <w:rsid w:val="00227722"/>
    <w:rsid w:val="00270AA9"/>
    <w:rsid w:val="00271E98"/>
    <w:rsid w:val="002A3191"/>
    <w:rsid w:val="002A4FB9"/>
    <w:rsid w:val="002C008D"/>
    <w:rsid w:val="002D16B9"/>
    <w:rsid w:val="002E36F8"/>
    <w:rsid w:val="002E7234"/>
    <w:rsid w:val="002E7A09"/>
    <w:rsid w:val="002F2FAC"/>
    <w:rsid w:val="002F648C"/>
    <w:rsid w:val="0031223E"/>
    <w:rsid w:val="003201E5"/>
    <w:rsid w:val="003307BC"/>
    <w:rsid w:val="00346C97"/>
    <w:rsid w:val="00361D09"/>
    <w:rsid w:val="003626D8"/>
    <w:rsid w:val="003836C7"/>
    <w:rsid w:val="00383EEB"/>
    <w:rsid w:val="003A2DF8"/>
    <w:rsid w:val="003B610E"/>
    <w:rsid w:val="003C2948"/>
    <w:rsid w:val="003C3E71"/>
    <w:rsid w:val="003C5FC4"/>
    <w:rsid w:val="003D02EC"/>
    <w:rsid w:val="003D75AF"/>
    <w:rsid w:val="003E2810"/>
    <w:rsid w:val="003E52EE"/>
    <w:rsid w:val="00405410"/>
    <w:rsid w:val="004075B6"/>
    <w:rsid w:val="00416BCA"/>
    <w:rsid w:val="00420650"/>
    <w:rsid w:val="0042356E"/>
    <w:rsid w:val="00427EE9"/>
    <w:rsid w:val="00432F5A"/>
    <w:rsid w:val="004814D2"/>
    <w:rsid w:val="0049576A"/>
    <w:rsid w:val="004A0CC6"/>
    <w:rsid w:val="004A2918"/>
    <w:rsid w:val="004A5483"/>
    <w:rsid w:val="004B08A5"/>
    <w:rsid w:val="004B7006"/>
    <w:rsid w:val="004C51CC"/>
    <w:rsid w:val="004C54D2"/>
    <w:rsid w:val="004C75F1"/>
    <w:rsid w:val="004E01E7"/>
    <w:rsid w:val="004E1031"/>
    <w:rsid w:val="004F4103"/>
    <w:rsid w:val="004F6614"/>
    <w:rsid w:val="00500606"/>
    <w:rsid w:val="00503DF8"/>
    <w:rsid w:val="005047C0"/>
    <w:rsid w:val="00520E12"/>
    <w:rsid w:val="00534F78"/>
    <w:rsid w:val="00540773"/>
    <w:rsid w:val="00544AB2"/>
    <w:rsid w:val="005459F9"/>
    <w:rsid w:val="00545ED1"/>
    <w:rsid w:val="00550061"/>
    <w:rsid w:val="005561CF"/>
    <w:rsid w:val="005744AF"/>
    <w:rsid w:val="00584DAE"/>
    <w:rsid w:val="00585C75"/>
    <w:rsid w:val="00592409"/>
    <w:rsid w:val="00592F49"/>
    <w:rsid w:val="005A024F"/>
    <w:rsid w:val="005A328E"/>
    <w:rsid w:val="005B4DBC"/>
    <w:rsid w:val="005C44F4"/>
    <w:rsid w:val="005C61A2"/>
    <w:rsid w:val="005D30FA"/>
    <w:rsid w:val="005D5BB4"/>
    <w:rsid w:val="00600AE4"/>
    <w:rsid w:val="00602889"/>
    <w:rsid w:val="00605C70"/>
    <w:rsid w:val="0061444A"/>
    <w:rsid w:val="006159A7"/>
    <w:rsid w:val="006259A9"/>
    <w:rsid w:val="00631D76"/>
    <w:rsid w:val="006373BA"/>
    <w:rsid w:val="0064460E"/>
    <w:rsid w:val="0065118B"/>
    <w:rsid w:val="00651A5D"/>
    <w:rsid w:val="00664AFD"/>
    <w:rsid w:val="00687EB5"/>
    <w:rsid w:val="00691178"/>
    <w:rsid w:val="00692BB5"/>
    <w:rsid w:val="00697F96"/>
    <w:rsid w:val="006B50EF"/>
    <w:rsid w:val="006C3EB4"/>
    <w:rsid w:val="006C66B8"/>
    <w:rsid w:val="006D1611"/>
    <w:rsid w:val="006D6107"/>
    <w:rsid w:val="006F6679"/>
    <w:rsid w:val="00704BA2"/>
    <w:rsid w:val="00706AD2"/>
    <w:rsid w:val="00731668"/>
    <w:rsid w:val="00735427"/>
    <w:rsid w:val="00736D31"/>
    <w:rsid w:val="00741668"/>
    <w:rsid w:val="007451B3"/>
    <w:rsid w:val="0074799E"/>
    <w:rsid w:val="007517DC"/>
    <w:rsid w:val="00755E70"/>
    <w:rsid w:val="007647FE"/>
    <w:rsid w:val="007801DA"/>
    <w:rsid w:val="00787115"/>
    <w:rsid w:val="00791E92"/>
    <w:rsid w:val="00793D04"/>
    <w:rsid w:val="00797D79"/>
    <w:rsid w:val="007A442A"/>
    <w:rsid w:val="007A4F47"/>
    <w:rsid w:val="007A7B7F"/>
    <w:rsid w:val="007B4D17"/>
    <w:rsid w:val="007B7FE8"/>
    <w:rsid w:val="007F12F8"/>
    <w:rsid w:val="008036EC"/>
    <w:rsid w:val="00803A3E"/>
    <w:rsid w:val="008237F3"/>
    <w:rsid w:val="00833E63"/>
    <w:rsid w:val="008549DA"/>
    <w:rsid w:val="00864506"/>
    <w:rsid w:val="00864597"/>
    <w:rsid w:val="008656E8"/>
    <w:rsid w:val="00880A2D"/>
    <w:rsid w:val="008815EF"/>
    <w:rsid w:val="0088336D"/>
    <w:rsid w:val="008852A5"/>
    <w:rsid w:val="008A45E8"/>
    <w:rsid w:val="008B6BB5"/>
    <w:rsid w:val="008B73CB"/>
    <w:rsid w:val="008C04AD"/>
    <w:rsid w:val="008C4934"/>
    <w:rsid w:val="008C56A6"/>
    <w:rsid w:val="008C7208"/>
    <w:rsid w:val="008D2485"/>
    <w:rsid w:val="008D65D8"/>
    <w:rsid w:val="008E143A"/>
    <w:rsid w:val="008E16BF"/>
    <w:rsid w:val="008E2787"/>
    <w:rsid w:val="008E57D8"/>
    <w:rsid w:val="00900A30"/>
    <w:rsid w:val="00934997"/>
    <w:rsid w:val="00937B29"/>
    <w:rsid w:val="00951ABF"/>
    <w:rsid w:val="0096228A"/>
    <w:rsid w:val="009803A0"/>
    <w:rsid w:val="0098181D"/>
    <w:rsid w:val="009A0D58"/>
    <w:rsid w:val="009A1D80"/>
    <w:rsid w:val="009A459F"/>
    <w:rsid w:val="009C141E"/>
    <w:rsid w:val="009D0E24"/>
    <w:rsid w:val="009D48AE"/>
    <w:rsid w:val="009D6454"/>
    <w:rsid w:val="009F391E"/>
    <w:rsid w:val="009F6A2A"/>
    <w:rsid w:val="00A040CB"/>
    <w:rsid w:val="00A21C2D"/>
    <w:rsid w:val="00A24656"/>
    <w:rsid w:val="00A263DD"/>
    <w:rsid w:val="00A26EB0"/>
    <w:rsid w:val="00A33E31"/>
    <w:rsid w:val="00A40BAE"/>
    <w:rsid w:val="00A415AB"/>
    <w:rsid w:val="00A418B2"/>
    <w:rsid w:val="00A443B0"/>
    <w:rsid w:val="00A4541E"/>
    <w:rsid w:val="00A54DB1"/>
    <w:rsid w:val="00A63DF5"/>
    <w:rsid w:val="00A77682"/>
    <w:rsid w:val="00A81E5E"/>
    <w:rsid w:val="00AA63D7"/>
    <w:rsid w:val="00AA7B06"/>
    <w:rsid w:val="00AB12BB"/>
    <w:rsid w:val="00AB5F52"/>
    <w:rsid w:val="00AC06F6"/>
    <w:rsid w:val="00AC11EC"/>
    <w:rsid w:val="00AD1EAA"/>
    <w:rsid w:val="00AE0590"/>
    <w:rsid w:val="00AE14F9"/>
    <w:rsid w:val="00AE7C02"/>
    <w:rsid w:val="00AE7CF5"/>
    <w:rsid w:val="00AF31BE"/>
    <w:rsid w:val="00B0000E"/>
    <w:rsid w:val="00B00E10"/>
    <w:rsid w:val="00B03ADC"/>
    <w:rsid w:val="00B04902"/>
    <w:rsid w:val="00B06A60"/>
    <w:rsid w:val="00B4127C"/>
    <w:rsid w:val="00B53D99"/>
    <w:rsid w:val="00B5557B"/>
    <w:rsid w:val="00B557F7"/>
    <w:rsid w:val="00B744EA"/>
    <w:rsid w:val="00B810FD"/>
    <w:rsid w:val="00B8224A"/>
    <w:rsid w:val="00B82368"/>
    <w:rsid w:val="00B846C5"/>
    <w:rsid w:val="00B85913"/>
    <w:rsid w:val="00B95206"/>
    <w:rsid w:val="00B95619"/>
    <w:rsid w:val="00BA29D4"/>
    <w:rsid w:val="00BB4617"/>
    <w:rsid w:val="00BB4CEB"/>
    <w:rsid w:val="00BC201D"/>
    <w:rsid w:val="00BC49D7"/>
    <w:rsid w:val="00BD25ED"/>
    <w:rsid w:val="00BE4DEB"/>
    <w:rsid w:val="00BF2F9A"/>
    <w:rsid w:val="00BF3071"/>
    <w:rsid w:val="00C0110E"/>
    <w:rsid w:val="00C03684"/>
    <w:rsid w:val="00C17E17"/>
    <w:rsid w:val="00C36B86"/>
    <w:rsid w:val="00C37351"/>
    <w:rsid w:val="00C43801"/>
    <w:rsid w:val="00C52829"/>
    <w:rsid w:val="00C753F7"/>
    <w:rsid w:val="00C85332"/>
    <w:rsid w:val="00C9520E"/>
    <w:rsid w:val="00C95411"/>
    <w:rsid w:val="00CA5765"/>
    <w:rsid w:val="00CB5C59"/>
    <w:rsid w:val="00CB61E7"/>
    <w:rsid w:val="00CD2006"/>
    <w:rsid w:val="00CD4E10"/>
    <w:rsid w:val="00CD734E"/>
    <w:rsid w:val="00CD7B33"/>
    <w:rsid w:val="00CE2DC2"/>
    <w:rsid w:val="00CF1905"/>
    <w:rsid w:val="00CF4A85"/>
    <w:rsid w:val="00CF4C2A"/>
    <w:rsid w:val="00CF6F63"/>
    <w:rsid w:val="00D06357"/>
    <w:rsid w:val="00D12929"/>
    <w:rsid w:val="00D14A78"/>
    <w:rsid w:val="00D3775C"/>
    <w:rsid w:val="00D40D2C"/>
    <w:rsid w:val="00D5427D"/>
    <w:rsid w:val="00D54EC0"/>
    <w:rsid w:val="00D575AE"/>
    <w:rsid w:val="00D60598"/>
    <w:rsid w:val="00D62285"/>
    <w:rsid w:val="00D6711F"/>
    <w:rsid w:val="00D76893"/>
    <w:rsid w:val="00D839EF"/>
    <w:rsid w:val="00D9214B"/>
    <w:rsid w:val="00DA0BB5"/>
    <w:rsid w:val="00DA1343"/>
    <w:rsid w:val="00DA324B"/>
    <w:rsid w:val="00DA5E03"/>
    <w:rsid w:val="00DD54E7"/>
    <w:rsid w:val="00DE2398"/>
    <w:rsid w:val="00DF0EAC"/>
    <w:rsid w:val="00E02D0D"/>
    <w:rsid w:val="00E11785"/>
    <w:rsid w:val="00E157B0"/>
    <w:rsid w:val="00E176FF"/>
    <w:rsid w:val="00E2408E"/>
    <w:rsid w:val="00E2714E"/>
    <w:rsid w:val="00E346AA"/>
    <w:rsid w:val="00E43D58"/>
    <w:rsid w:val="00E44DC4"/>
    <w:rsid w:val="00E45B6A"/>
    <w:rsid w:val="00E53681"/>
    <w:rsid w:val="00E5445D"/>
    <w:rsid w:val="00E7360D"/>
    <w:rsid w:val="00E74517"/>
    <w:rsid w:val="00E77450"/>
    <w:rsid w:val="00E81D02"/>
    <w:rsid w:val="00E9067E"/>
    <w:rsid w:val="00E9383F"/>
    <w:rsid w:val="00E946BD"/>
    <w:rsid w:val="00E9636D"/>
    <w:rsid w:val="00EA3CE1"/>
    <w:rsid w:val="00EA40AA"/>
    <w:rsid w:val="00EA5F5B"/>
    <w:rsid w:val="00EB527F"/>
    <w:rsid w:val="00EC39BD"/>
    <w:rsid w:val="00ED48A4"/>
    <w:rsid w:val="00ED64D2"/>
    <w:rsid w:val="00ED72B0"/>
    <w:rsid w:val="00EE1B08"/>
    <w:rsid w:val="00EE6C46"/>
    <w:rsid w:val="00F1061E"/>
    <w:rsid w:val="00F16A1F"/>
    <w:rsid w:val="00F17859"/>
    <w:rsid w:val="00F5062A"/>
    <w:rsid w:val="00F51F59"/>
    <w:rsid w:val="00F577DC"/>
    <w:rsid w:val="00F61A6E"/>
    <w:rsid w:val="00F8417E"/>
    <w:rsid w:val="00FA4964"/>
    <w:rsid w:val="00FA7C92"/>
    <w:rsid w:val="00FB312D"/>
    <w:rsid w:val="00FB398A"/>
    <w:rsid w:val="00FB4859"/>
    <w:rsid w:val="00FC7C75"/>
    <w:rsid w:val="00FD579C"/>
    <w:rsid w:val="00FE29DC"/>
    <w:rsid w:val="00FE3947"/>
    <w:rsid w:val="00FF4110"/>
    <w:rsid w:val="795649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theme="minorBidi"/>
      <w:kern w:val="2"/>
      <w:sz w:val="18"/>
      <w:szCs w:val="18"/>
    </w:rPr>
  </w:style>
  <w:style w:type="character" w:customStyle="1" w:styleId="7">
    <w:name w:val="页眉 Char"/>
    <w:link w:val="4"/>
    <w:locked/>
    <w:uiPriority w:val="0"/>
    <w:rPr>
      <w:rFonts w:ascii="Calibri" w:hAnsi="Calibri" w:eastAsia="宋体"/>
      <w:sz w:val="18"/>
      <w:szCs w:val="18"/>
    </w:rPr>
  </w:style>
  <w:style w:type="character" w:customStyle="1" w:styleId="8">
    <w:name w:val="页眉 Char1"/>
    <w:basedOn w:val="6"/>
    <w:semiHidden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093B89-7FE0-420E-8280-8B86DBD4C2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265</Words>
  <Characters>1512</Characters>
  <Lines>12</Lines>
  <Paragraphs>3</Paragraphs>
  <TotalTime>1662</TotalTime>
  <ScaleCrop>false</ScaleCrop>
  <LinksUpToDate>false</LinksUpToDate>
  <CharactersWithSpaces>1774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2018-05-18T00:24:00Z</dcterms:created>
  <dc:creator>PC</dc:creator>
  <cp:lastModifiedBy>Administrator</cp:lastModifiedBy>
  <cp:lastPrinted>2020-10-21T03:24:04Z</cp:lastPrinted>
  <dcterms:modified xsi:type="dcterms:W3CDTF">2020-10-21T03:24:30Z</dcterms:modified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