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黑体" w:hAnsi="黑体" w:eastAsia="黑体"/>
          <w:sz w:val="32"/>
          <w:szCs w:val="32"/>
        </w:rPr>
      </w:pPr>
      <w:r>
        <w:rPr>
          <w:rFonts w:hint="eastAsia" w:ascii="黑体" w:hAnsi="黑体" w:eastAsia="黑体"/>
          <w:sz w:val="32"/>
          <w:szCs w:val="32"/>
        </w:rPr>
        <w:t>附件2</w:t>
      </w:r>
    </w:p>
    <w:p>
      <w:pPr>
        <w:overflowPunct w:val="0"/>
        <w:adjustRightInd w:val="0"/>
        <w:snapToGrid w:val="0"/>
        <w:spacing w:line="580" w:lineRule="exact"/>
        <w:jc w:val="center"/>
        <w:rPr>
          <w:rFonts w:ascii="宋体" w:hAnsi="宋体" w:eastAsia="宋体"/>
          <w:b/>
          <w:bCs/>
          <w:color w:val="000000"/>
          <w:sz w:val="44"/>
          <w:szCs w:val="44"/>
        </w:rPr>
      </w:pPr>
      <w:bookmarkStart w:id="0" w:name="_GoBack"/>
      <w:r>
        <w:rPr>
          <w:rFonts w:hint="eastAsia" w:ascii="宋体" w:hAnsi="宋体" w:eastAsia="宋体"/>
          <w:b/>
          <w:bCs/>
          <w:color w:val="000000"/>
          <w:sz w:val="44"/>
          <w:szCs w:val="44"/>
        </w:rPr>
        <w:t>不在单位领取工薪类型的补贴标准</w:t>
      </w:r>
    </w:p>
    <w:bookmarkEnd w:id="0"/>
    <w:p>
      <w:pPr>
        <w:overflowPunct w:val="0"/>
        <w:adjustRightInd w:val="0"/>
        <w:snapToGrid w:val="0"/>
        <w:spacing w:line="580" w:lineRule="exact"/>
        <w:jc w:val="center"/>
        <w:rPr>
          <w:rFonts w:ascii="Times New Roman" w:hAnsi="Times New Roman" w:eastAsia="方正小标宋简体"/>
          <w:bCs/>
          <w:color w:val="000000"/>
          <w:sz w:val="44"/>
          <w:szCs w:val="44"/>
        </w:rPr>
      </w:pPr>
    </w:p>
    <w:p>
      <w:pPr>
        <w:overflowPunct w:val="0"/>
        <w:adjustRightInd w:val="0"/>
        <w:snapToGrid w:val="0"/>
        <w:spacing w:line="580" w:lineRule="exact"/>
        <w:jc w:val="center"/>
        <w:rPr>
          <w:rFonts w:ascii="Times New Roman" w:hAnsi="Times New Roman" w:eastAsia="方正小标宋简体"/>
          <w:bCs/>
          <w:color w:val="000000"/>
          <w:sz w:val="44"/>
          <w:szCs w:val="44"/>
        </w:rPr>
      </w:pPr>
      <w:r>
        <w:rPr>
          <w:rFonts w:hint="eastAsia" w:ascii="楷体_GB2312" w:hAnsi="Times New Roman" w:eastAsia="楷体_GB2312"/>
          <w:sz w:val="24"/>
        </w:rPr>
        <w:t xml:space="preserve">                                                  （币种：人民币）</w:t>
      </w:r>
    </w:p>
    <w:tbl>
      <w:tblPr>
        <w:tblStyle w:val="2"/>
        <w:tblpPr w:leftFromText="180" w:rightFromText="180" w:vertAnchor="text" w:horzAnchor="margin" w:tblpXSpec="center" w:tblpY="264"/>
        <w:tblW w:w="11595"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92"/>
        <w:gridCol w:w="1810"/>
        <w:gridCol w:w="3687"/>
        <w:gridCol w:w="1419"/>
        <w:gridCol w:w="368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18" w:hRule="exact"/>
        </w:trPr>
        <w:tc>
          <w:tcPr>
            <w:tcW w:w="993" w:type="dxa"/>
            <w:tcBorders>
              <w:top w:val="single" w:color="auto" w:sz="8" w:space="0"/>
              <w:left w:val="single" w:color="auto" w:sz="8" w:space="0"/>
              <w:bottom w:val="single" w:color="auto" w:sz="4" w:space="0"/>
              <w:right w:val="single" w:color="auto" w:sz="4" w:space="0"/>
            </w:tcBorders>
            <w:vAlign w:val="center"/>
          </w:tcPr>
          <w:p>
            <w:pPr>
              <w:widowControl/>
              <w:overflowPunct w:val="0"/>
              <w:adjustRightInd w:val="0"/>
              <w:snapToGrid w:val="0"/>
              <w:spacing w:line="320" w:lineRule="exact"/>
              <w:jc w:val="center"/>
              <w:rPr>
                <w:rFonts w:ascii="黑体" w:hAnsi="黑体" w:eastAsia="黑体" w:cs="Times New Roman"/>
                <w:sz w:val="28"/>
                <w:szCs w:val="28"/>
              </w:rPr>
            </w:pPr>
            <w:r>
              <w:rPr>
                <w:rFonts w:hint="eastAsia" w:ascii="黑体" w:hAnsi="黑体" w:eastAsia="黑体"/>
                <w:sz w:val="28"/>
                <w:szCs w:val="28"/>
              </w:rPr>
              <w:t>序号</w:t>
            </w:r>
          </w:p>
        </w:tc>
        <w:tc>
          <w:tcPr>
            <w:tcW w:w="1809" w:type="dxa"/>
            <w:tcBorders>
              <w:top w:val="single" w:color="auto" w:sz="8" w:space="0"/>
              <w:left w:val="single" w:color="auto" w:sz="4" w:space="0"/>
              <w:bottom w:val="single" w:color="auto" w:sz="4" w:space="0"/>
              <w:right w:val="single" w:color="auto" w:sz="4" w:space="0"/>
            </w:tcBorders>
            <w:vAlign w:val="center"/>
          </w:tcPr>
          <w:p>
            <w:pPr>
              <w:widowControl/>
              <w:overflowPunct w:val="0"/>
              <w:adjustRightInd w:val="0"/>
              <w:snapToGrid w:val="0"/>
              <w:spacing w:line="320" w:lineRule="exact"/>
              <w:jc w:val="center"/>
              <w:rPr>
                <w:rFonts w:ascii="黑体" w:hAnsi="黑体" w:eastAsia="黑体" w:cs="Times New Roman"/>
                <w:sz w:val="28"/>
                <w:szCs w:val="28"/>
              </w:rPr>
            </w:pPr>
            <w:r>
              <w:rPr>
                <w:rFonts w:hint="eastAsia" w:ascii="黑体" w:hAnsi="黑体" w:eastAsia="黑体"/>
                <w:sz w:val="28"/>
                <w:szCs w:val="28"/>
              </w:rPr>
              <w:t>开支范围</w:t>
            </w:r>
          </w:p>
        </w:tc>
        <w:tc>
          <w:tcPr>
            <w:tcW w:w="3685" w:type="dxa"/>
            <w:tcBorders>
              <w:top w:val="single" w:color="auto" w:sz="8" w:space="0"/>
              <w:left w:val="single" w:color="auto" w:sz="4" w:space="0"/>
              <w:bottom w:val="single" w:color="auto" w:sz="4" w:space="0"/>
              <w:right w:val="single" w:color="auto" w:sz="4" w:space="0"/>
            </w:tcBorders>
          </w:tcPr>
          <w:p>
            <w:pPr>
              <w:widowControl/>
              <w:overflowPunct w:val="0"/>
              <w:adjustRightInd w:val="0"/>
              <w:snapToGrid w:val="0"/>
              <w:spacing w:line="320" w:lineRule="exact"/>
              <w:jc w:val="center"/>
              <w:rPr>
                <w:rFonts w:ascii="黑体" w:hAnsi="黑体" w:eastAsia="黑体" w:cs="Times New Roman"/>
                <w:sz w:val="28"/>
                <w:szCs w:val="28"/>
              </w:rPr>
            </w:pPr>
          </w:p>
          <w:p>
            <w:pPr>
              <w:widowControl/>
              <w:overflowPunct w:val="0"/>
              <w:adjustRightInd w:val="0"/>
              <w:snapToGrid w:val="0"/>
              <w:spacing w:line="320" w:lineRule="exact"/>
              <w:jc w:val="center"/>
              <w:rPr>
                <w:rFonts w:ascii="黑体" w:hAnsi="黑体" w:eastAsia="黑体"/>
                <w:sz w:val="28"/>
                <w:szCs w:val="28"/>
              </w:rPr>
            </w:pPr>
          </w:p>
          <w:p>
            <w:pPr>
              <w:widowControl/>
              <w:overflowPunct w:val="0"/>
              <w:adjustRightInd w:val="0"/>
              <w:snapToGrid w:val="0"/>
              <w:spacing w:line="320" w:lineRule="exact"/>
              <w:jc w:val="center"/>
              <w:rPr>
                <w:rFonts w:ascii="黑体" w:hAnsi="黑体" w:eastAsia="黑体" w:cs="Times New Roman"/>
                <w:sz w:val="28"/>
                <w:szCs w:val="28"/>
              </w:rPr>
            </w:pPr>
            <w:r>
              <w:rPr>
                <w:rFonts w:hint="eastAsia" w:ascii="黑体" w:hAnsi="黑体" w:eastAsia="黑体"/>
                <w:sz w:val="28"/>
                <w:szCs w:val="28"/>
              </w:rPr>
              <w:t>包括内容</w:t>
            </w:r>
          </w:p>
        </w:tc>
        <w:tc>
          <w:tcPr>
            <w:tcW w:w="1418" w:type="dxa"/>
            <w:tcBorders>
              <w:top w:val="single" w:color="auto" w:sz="8" w:space="0"/>
              <w:left w:val="single" w:color="auto" w:sz="4" w:space="0"/>
              <w:bottom w:val="single" w:color="auto" w:sz="4" w:space="0"/>
              <w:right w:val="single" w:color="auto" w:sz="4" w:space="0"/>
            </w:tcBorders>
            <w:vAlign w:val="center"/>
          </w:tcPr>
          <w:p>
            <w:pPr>
              <w:widowControl/>
              <w:overflowPunct w:val="0"/>
              <w:adjustRightInd w:val="0"/>
              <w:snapToGrid w:val="0"/>
              <w:spacing w:line="320" w:lineRule="exact"/>
              <w:jc w:val="center"/>
              <w:rPr>
                <w:rFonts w:ascii="黑体" w:hAnsi="黑体" w:eastAsia="黑体" w:cs="Times New Roman"/>
                <w:sz w:val="28"/>
                <w:szCs w:val="28"/>
              </w:rPr>
            </w:pPr>
            <w:r>
              <w:rPr>
                <w:rFonts w:hint="eastAsia" w:ascii="黑体" w:hAnsi="黑体" w:eastAsia="黑体"/>
                <w:sz w:val="28"/>
                <w:szCs w:val="28"/>
              </w:rPr>
              <w:t>资助上限</w:t>
            </w:r>
          </w:p>
          <w:p>
            <w:pPr>
              <w:widowControl/>
              <w:overflowPunct w:val="0"/>
              <w:adjustRightInd w:val="0"/>
              <w:snapToGrid w:val="0"/>
              <w:spacing w:line="320" w:lineRule="exact"/>
              <w:jc w:val="center"/>
              <w:rPr>
                <w:rFonts w:ascii="黑体" w:hAnsi="黑体" w:eastAsia="黑体" w:cs="Times New Roman"/>
                <w:sz w:val="28"/>
                <w:szCs w:val="28"/>
              </w:rPr>
            </w:pPr>
            <w:r>
              <w:rPr>
                <w:rFonts w:hint="eastAsia" w:ascii="黑体" w:hAnsi="黑体" w:eastAsia="黑体"/>
                <w:sz w:val="28"/>
                <w:szCs w:val="28"/>
              </w:rPr>
              <w:t>标准</w:t>
            </w:r>
          </w:p>
        </w:tc>
        <w:tc>
          <w:tcPr>
            <w:tcW w:w="3685" w:type="dxa"/>
            <w:tcBorders>
              <w:top w:val="single" w:color="auto" w:sz="8" w:space="0"/>
              <w:left w:val="single" w:color="auto" w:sz="4" w:space="0"/>
              <w:bottom w:val="single" w:color="auto" w:sz="4" w:space="0"/>
              <w:right w:val="single" w:color="auto" w:sz="8" w:space="0"/>
            </w:tcBorders>
            <w:vAlign w:val="center"/>
          </w:tcPr>
          <w:p>
            <w:pPr>
              <w:widowControl/>
              <w:overflowPunct w:val="0"/>
              <w:adjustRightInd w:val="0"/>
              <w:snapToGrid w:val="0"/>
              <w:spacing w:line="320" w:lineRule="exact"/>
              <w:jc w:val="center"/>
              <w:rPr>
                <w:rFonts w:ascii="黑体" w:hAnsi="黑体" w:eastAsia="黑体" w:cs="Times New Roman"/>
                <w:sz w:val="28"/>
                <w:szCs w:val="28"/>
              </w:rPr>
            </w:pPr>
            <w:r>
              <w:rPr>
                <w:rFonts w:hint="eastAsia" w:ascii="黑体" w:hAnsi="黑体" w:eastAsia="黑体"/>
                <w:sz w:val="28"/>
                <w:szCs w:val="28"/>
              </w:rPr>
              <w:t>备 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29" w:hRule="exact"/>
        </w:trPr>
        <w:tc>
          <w:tcPr>
            <w:tcW w:w="993" w:type="dxa"/>
            <w:tcBorders>
              <w:top w:val="single" w:color="auto" w:sz="4" w:space="0"/>
              <w:left w:val="single" w:color="auto" w:sz="8" w:space="0"/>
              <w:bottom w:val="single" w:color="auto" w:sz="4" w:space="0"/>
              <w:right w:val="single" w:color="auto" w:sz="4" w:space="0"/>
            </w:tcBorders>
            <w:vAlign w:val="center"/>
          </w:tcPr>
          <w:p>
            <w:pPr>
              <w:widowControl/>
              <w:overflowPunct w:val="0"/>
              <w:adjustRightInd w:val="0"/>
              <w:snapToGrid w:val="0"/>
              <w:spacing w:line="320" w:lineRule="exact"/>
              <w:jc w:val="center"/>
              <w:rPr>
                <w:rFonts w:ascii="Times New Roman" w:hAnsi="Times New Roman" w:eastAsia="仿宋_GB2312" w:cs="Times New Roman"/>
                <w:sz w:val="28"/>
                <w:szCs w:val="28"/>
              </w:rPr>
            </w:pPr>
            <w:r>
              <w:rPr>
                <w:rFonts w:ascii="Times New Roman" w:hAnsi="Times New Roman" w:eastAsia="仿宋_GB2312"/>
                <w:sz w:val="28"/>
                <w:szCs w:val="28"/>
              </w:rPr>
              <w:t>1</w:t>
            </w:r>
          </w:p>
        </w:tc>
        <w:tc>
          <w:tcPr>
            <w:tcW w:w="1809" w:type="dxa"/>
            <w:tcBorders>
              <w:top w:val="single" w:color="auto" w:sz="4" w:space="0"/>
              <w:left w:val="single" w:color="auto" w:sz="4" w:space="0"/>
              <w:bottom w:val="single" w:color="auto" w:sz="4" w:space="0"/>
              <w:right w:val="single" w:color="auto" w:sz="4" w:space="0"/>
            </w:tcBorders>
            <w:vAlign w:val="center"/>
          </w:tcPr>
          <w:p>
            <w:pPr>
              <w:widowControl/>
              <w:overflowPunct w:val="0"/>
              <w:adjustRightInd w:val="0"/>
              <w:snapToGrid w:val="0"/>
              <w:spacing w:line="320" w:lineRule="exact"/>
              <w:jc w:val="center"/>
              <w:rPr>
                <w:rFonts w:ascii="Times New Roman" w:hAnsi="Times New Roman" w:eastAsia="仿宋_GB2312" w:cs="Times New Roman"/>
                <w:sz w:val="28"/>
                <w:szCs w:val="28"/>
              </w:rPr>
            </w:pPr>
            <w:r>
              <w:rPr>
                <w:rFonts w:hint="eastAsia" w:ascii="Times New Roman" w:hAnsi="Times New Roman" w:eastAsia="仿宋_GB2312"/>
                <w:sz w:val="28"/>
                <w:szCs w:val="28"/>
              </w:rPr>
              <w:t>专家交通费</w:t>
            </w:r>
          </w:p>
        </w:tc>
        <w:tc>
          <w:tcPr>
            <w:tcW w:w="3685" w:type="dxa"/>
            <w:tcBorders>
              <w:top w:val="single" w:color="auto" w:sz="4" w:space="0"/>
              <w:left w:val="single" w:color="auto" w:sz="4" w:space="0"/>
              <w:bottom w:val="single" w:color="auto" w:sz="4" w:space="0"/>
              <w:right w:val="single" w:color="auto" w:sz="4" w:space="0"/>
            </w:tcBorders>
          </w:tcPr>
          <w:p>
            <w:pPr>
              <w:widowControl/>
              <w:overflowPunct w:val="0"/>
              <w:adjustRightInd w:val="0"/>
              <w:snapToGrid w:val="0"/>
              <w:spacing w:line="320" w:lineRule="exact"/>
              <w:jc w:val="center"/>
              <w:rPr>
                <w:rFonts w:ascii="Times New Roman" w:hAnsi="Times New Roman" w:eastAsia="仿宋_GB2312" w:cs="Times New Roman"/>
                <w:sz w:val="28"/>
                <w:szCs w:val="28"/>
              </w:rPr>
            </w:pPr>
            <w:r>
              <w:rPr>
                <w:rFonts w:hint="eastAsia" w:ascii="Times New Roman" w:hAnsi="Times New Roman" w:eastAsia="仿宋_GB2312"/>
                <w:sz w:val="28"/>
                <w:szCs w:val="28"/>
              </w:rPr>
              <w:t>指海外人才本人因来华工作产生的在国外出发地（返程地）和中国的入（出）境口岸之间的国际机票和其他交通费用，以及在中国境内城市之间或市内因工作需要乘坐交通工具所发生的费用</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overflowPunct w:val="0"/>
              <w:adjustRightInd w:val="0"/>
              <w:snapToGrid w:val="0"/>
              <w:spacing w:line="320" w:lineRule="exact"/>
              <w:jc w:val="center"/>
              <w:rPr>
                <w:rFonts w:ascii="Times New Roman" w:hAnsi="Times New Roman" w:eastAsia="仿宋_GB2312" w:cs="Times New Roman"/>
                <w:sz w:val="28"/>
                <w:szCs w:val="28"/>
              </w:rPr>
            </w:pPr>
            <w:r>
              <w:rPr>
                <w:rFonts w:hint="eastAsia" w:ascii="Times New Roman" w:hAnsi="Times New Roman" w:eastAsia="仿宋_GB2312"/>
                <w:sz w:val="28"/>
                <w:szCs w:val="28"/>
              </w:rPr>
              <w:t>据实核销</w:t>
            </w:r>
          </w:p>
        </w:tc>
        <w:tc>
          <w:tcPr>
            <w:tcW w:w="3685" w:type="dxa"/>
            <w:tcBorders>
              <w:top w:val="single" w:color="auto" w:sz="4" w:space="0"/>
              <w:left w:val="single" w:color="auto" w:sz="4" w:space="0"/>
              <w:bottom w:val="single" w:color="auto" w:sz="4" w:space="0"/>
              <w:right w:val="single" w:color="auto" w:sz="8" w:space="0"/>
            </w:tcBorders>
            <w:vAlign w:val="center"/>
          </w:tcPr>
          <w:p>
            <w:pPr>
              <w:overflowPunct w:val="0"/>
              <w:adjustRightInd w:val="0"/>
              <w:snapToGrid w:val="0"/>
              <w:spacing w:line="320" w:lineRule="exact"/>
              <w:rPr>
                <w:rFonts w:eastAsia="宋体" w:cs="Times New Roman"/>
                <w:sz w:val="28"/>
                <w:szCs w:val="28"/>
              </w:rPr>
            </w:pPr>
            <w:r>
              <w:rPr>
                <w:rFonts w:hint="eastAsia" w:ascii="Times New Roman" w:hAnsi="Times New Roman" w:eastAsia="仿宋_GB2312"/>
                <w:sz w:val="28"/>
                <w:szCs w:val="28"/>
              </w:rPr>
              <w:t>根据海外人才层次、健康状况、工作需要在可靠、便利、节俭的原则下选择交通工具及座位等级，包括乘坐国际</w:t>
            </w:r>
            <w:r>
              <w:rPr>
                <w:rFonts w:ascii="Times New Roman" w:hAnsi="Times New Roman" w:eastAsia="仿宋_GB2312"/>
                <w:sz w:val="28"/>
                <w:szCs w:val="28"/>
              </w:rPr>
              <w:t>/</w:t>
            </w:r>
            <w:r>
              <w:rPr>
                <w:rFonts w:hint="eastAsia" w:ascii="Times New Roman" w:hAnsi="Times New Roman" w:eastAsia="仿宋_GB2312"/>
                <w:sz w:val="28"/>
                <w:szCs w:val="28"/>
              </w:rPr>
              <w:t>国内航班；火车、高铁</w:t>
            </w:r>
            <w:r>
              <w:rPr>
                <w:rFonts w:ascii="Times New Roman" w:hAnsi="Times New Roman" w:eastAsia="仿宋_GB2312"/>
                <w:sz w:val="28"/>
                <w:szCs w:val="28"/>
              </w:rPr>
              <w:t>/</w:t>
            </w:r>
            <w:r>
              <w:rPr>
                <w:rFonts w:hint="eastAsia" w:ascii="Times New Roman" w:hAnsi="Times New Roman" w:eastAsia="仿宋_GB2312"/>
                <w:sz w:val="28"/>
                <w:szCs w:val="28"/>
              </w:rPr>
              <w:t>动车；轮船（不包括旅游船）；室内出租车费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18" w:hRule="atLeast"/>
        </w:trPr>
        <w:tc>
          <w:tcPr>
            <w:tcW w:w="993" w:type="dxa"/>
            <w:tcBorders>
              <w:top w:val="single" w:color="auto" w:sz="4" w:space="0"/>
              <w:left w:val="single" w:color="auto" w:sz="8" w:space="0"/>
              <w:bottom w:val="single" w:color="auto" w:sz="4" w:space="0"/>
              <w:right w:val="single" w:color="auto" w:sz="4" w:space="0"/>
            </w:tcBorders>
            <w:vAlign w:val="center"/>
          </w:tcPr>
          <w:p>
            <w:pPr>
              <w:widowControl/>
              <w:overflowPunct w:val="0"/>
              <w:adjustRightInd w:val="0"/>
              <w:snapToGrid w:val="0"/>
              <w:spacing w:line="320" w:lineRule="exact"/>
              <w:jc w:val="center"/>
              <w:rPr>
                <w:rFonts w:ascii="Times New Roman" w:hAnsi="Times New Roman" w:eastAsia="仿宋_GB2312" w:cs="Times New Roman"/>
                <w:sz w:val="28"/>
                <w:szCs w:val="28"/>
              </w:rPr>
            </w:pPr>
            <w:r>
              <w:rPr>
                <w:rFonts w:ascii="Times New Roman" w:hAnsi="Times New Roman" w:eastAsia="仿宋_GB2312"/>
                <w:sz w:val="28"/>
                <w:szCs w:val="28"/>
              </w:rPr>
              <w:t>2</w:t>
            </w:r>
          </w:p>
        </w:tc>
        <w:tc>
          <w:tcPr>
            <w:tcW w:w="1809" w:type="dxa"/>
            <w:tcBorders>
              <w:top w:val="single" w:color="auto" w:sz="4" w:space="0"/>
              <w:left w:val="single" w:color="auto" w:sz="4" w:space="0"/>
              <w:bottom w:val="single" w:color="auto" w:sz="4" w:space="0"/>
              <w:right w:val="single" w:color="auto" w:sz="4" w:space="0"/>
            </w:tcBorders>
            <w:vAlign w:val="center"/>
          </w:tcPr>
          <w:p>
            <w:pPr>
              <w:widowControl/>
              <w:overflowPunct w:val="0"/>
              <w:adjustRightInd w:val="0"/>
              <w:snapToGrid w:val="0"/>
              <w:spacing w:line="320" w:lineRule="exact"/>
              <w:jc w:val="center"/>
              <w:rPr>
                <w:rFonts w:ascii="Times New Roman" w:hAnsi="Times New Roman" w:eastAsia="仿宋_GB2312" w:cs="Times New Roman"/>
                <w:sz w:val="28"/>
                <w:szCs w:val="28"/>
              </w:rPr>
            </w:pPr>
            <w:r>
              <w:rPr>
                <w:rFonts w:hint="eastAsia" w:ascii="Times New Roman" w:hAnsi="Times New Roman" w:eastAsia="仿宋_GB2312"/>
                <w:sz w:val="28"/>
                <w:szCs w:val="28"/>
              </w:rPr>
              <w:t>专家咨询费（讲课费）</w:t>
            </w:r>
          </w:p>
        </w:tc>
        <w:tc>
          <w:tcPr>
            <w:tcW w:w="3685" w:type="dxa"/>
            <w:tcBorders>
              <w:top w:val="single" w:color="auto" w:sz="4" w:space="0"/>
              <w:left w:val="single" w:color="auto" w:sz="4" w:space="0"/>
              <w:bottom w:val="single" w:color="auto" w:sz="4" w:space="0"/>
              <w:right w:val="single" w:color="auto" w:sz="4" w:space="0"/>
            </w:tcBorders>
          </w:tcPr>
          <w:p>
            <w:pPr>
              <w:widowControl/>
              <w:overflowPunct w:val="0"/>
              <w:adjustRightInd w:val="0"/>
              <w:snapToGrid w:val="0"/>
              <w:spacing w:line="320" w:lineRule="exact"/>
              <w:rPr>
                <w:rFonts w:ascii="Times New Roman" w:hAnsi="Times New Roman" w:eastAsia="仿宋_GB2312" w:cs="Times New Roman"/>
                <w:sz w:val="28"/>
                <w:szCs w:val="28"/>
              </w:rPr>
            </w:pPr>
            <w:r>
              <w:rPr>
                <w:rFonts w:hint="eastAsia" w:ascii="Times New Roman" w:hAnsi="Times New Roman" w:eastAsia="仿宋_GB2312"/>
                <w:sz w:val="28"/>
                <w:szCs w:val="28"/>
              </w:rPr>
              <w:t>指未与项目单位建立劳动关系的海外人才，因从事咨询、讲座、授课、技术服务等劳务取得的临时性报酬</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overflowPunct w:val="0"/>
              <w:adjustRightInd w:val="0"/>
              <w:snapToGrid w:val="0"/>
              <w:spacing w:line="320" w:lineRule="exact"/>
              <w:jc w:val="center"/>
              <w:rPr>
                <w:rFonts w:ascii="Times New Roman" w:hAnsi="Times New Roman" w:eastAsia="仿宋_GB2312" w:cs="Times New Roman"/>
                <w:sz w:val="28"/>
                <w:szCs w:val="28"/>
              </w:rPr>
            </w:pPr>
            <w:r>
              <w:rPr>
                <w:rFonts w:ascii="Times New Roman" w:hAnsi="Times New Roman" w:eastAsia="仿宋_GB2312"/>
                <w:sz w:val="28"/>
                <w:szCs w:val="28"/>
              </w:rPr>
              <w:t>3000</w:t>
            </w:r>
            <w:r>
              <w:rPr>
                <w:rFonts w:hint="eastAsia" w:ascii="Times New Roman" w:hAnsi="Times New Roman" w:eastAsia="仿宋_GB2312"/>
                <w:sz w:val="28"/>
                <w:szCs w:val="28"/>
              </w:rPr>
              <w:t>元</w:t>
            </w:r>
            <w:r>
              <w:rPr>
                <w:rFonts w:ascii="Times New Roman" w:hAnsi="Times New Roman" w:eastAsia="仿宋_GB2312"/>
                <w:sz w:val="28"/>
                <w:szCs w:val="28"/>
              </w:rPr>
              <w:t>/</w:t>
            </w:r>
            <w:r>
              <w:rPr>
                <w:rFonts w:hint="eastAsia" w:ascii="Times New Roman" w:hAnsi="Times New Roman" w:eastAsia="仿宋_GB2312"/>
                <w:sz w:val="28"/>
                <w:szCs w:val="28"/>
              </w:rPr>
              <w:t>次</w:t>
            </w:r>
          </w:p>
        </w:tc>
        <w:tc>
          <w:tcPr>
            <w:tcW w:w="3685" w:type="dxa"/>
            <w:vMerge w:val="restart"/>
            <w:tcBorders>
              <w:top w:val="single" w:color="auto" w:sz="4" w:space="0"/>
              <w:left w:val="single" w:color="auto" w:sz="4" w:space="0"/>
              <w:bottom w:val="single" w:color="auto" w:sz="4" w:space="0"/>
              <w:right w:val="single" w:color="auto" w:sz="8" w:space="0"/>
            </w:tcBorders>
            <w:vAlign w:val="center"/>
          </w:tcPr>
          <w:p>
            <w:pPr>
              <w:overflowPunct w:val="0"/>
              <w:adjustRightInd w:val="0"/>
              <w:snapToGrid w:val="0"/>
              <w:spacing w:line="320" w:lineRule="exact"/>
              <w:rPr>
                <w:rFonts w:ascii="Times New Roman" w:hAnsi="Times New Roman" w:eastAsia="仿宋_GB2312" w:cs="Times New Roman"/>
                <w:sz w:val="28"/>
                <w:szCs w:val="28"/>
              </w:rPr>
            </w:pPr>
            <w:r>
              <w:rPr>
                <w:rFonts w:hint="eastAsia" w:ascii="Times New Roman" w:hAnsi="Times New Roman" w:eastAsia="仿宋_GB2312"/>
                <w:sz w:val="28"/>
                <w:szCs w:val="28"/>
              </w:rPr>
              <w:t>专家咨询费（讲课费）、专家补贴只能选择其中一种方式给予资助</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85" w:hRule="exact"/>
        </w:trPr>
        <w:tc>
          <w:tcPr>
            <w:tcW w:w="993" w:type="dxa"/>
            <w:tcBorders>
              <w:top w:val="single" w:color="auto" w:sz="4" w:space="0"/>
              <w:left w:val="single" w:color="auto" w:sz="8" w:space="0"/>
              <w:bottom w:val="single" w:color="auto" w:sz="4" w:space="0"/>
              <w:right w:val="single" w:color="auto" w:sz="4" w:space="0"/>
            </w:tcBorders>
            <w:vAlign w:val="center"/>
          </w:tcPr>
          <w:p>
            <w:pPr>
              <w:widowControl/>
              <w:overflowPunct w:val="0"/>
              <w:adjustRightInd w:val="0"/>
              <w:snapToGrid w:val="0"/>
              <w:spacing w:line="320" w:lineRule="exact"/>
              <w:jc w:val="center"/>
              <w:rPr>
                <w:rFonts w:ascii="Times New Roman" w:hAnsi="Times New Roman" w:eastAsia="仿宋_GB2312" w:cs="Times New Roman"/>
                <w:sz w:val="28"/>
                <w:szCs w:val="28"/>
              </w:rPr>
            </w:pPr>
            <w:r>
              <w:rPr>
                <w:rFonts w:ascii="Times New Roman" w:hAnsi="Times New Roman" w:eastAsia="仿宋_GB2312"/>
                <w:sz w:val="28"/>
                <w:szCs w:val="28"/>
              </w:rPr>
              <w:t>3</w:t>
            </w:r>
          </w:p>
        </w:tc>
        <w:tc>
          <w:tcPr>
            <w:tcW w:w="1809" w:type="dxa"/>
            <w:tcBorders>
              <w:top w:val="single" w:color="auto" w:sz="4" w:space="0"/>
              <w:left w:val="single" w:color="auto" w:sz="4" w:space="0"/>
              <w:bottom w:val="single" w:color="auto" w:sz="4" w:space="0"/>
              <w:right w:val="single" w:color="auto" w:sz="4" w:space="0"/>
            </w:tcBorders>
            <w:vAlign w:val="center"/>
          </w:tcPr>
          <w:p>
            <w:pPr>
              <w:widowControl/>
              <w:overflowPunct w:val="0"/>
              <w:adjustRightInd w:val="0"/>
              <w:snapToGrid w:val="0"/>
              <w:spacing w:line="320" w:lineRule="exact"/>
              <w:jc w:val="center"/>
              <w:rPr>
                <w:rFonts w:ascii="Times New Roman" w:hAnsi="Times New Roman" w:eastAsia="仿宋_GB2312" w:cs="Times New Roman"/>
                <w:sz w:val="28"/>
                <w:szCs w:val="28"/>
              </w:rPr>
            </w:pPr>
            <w:r>
              <w:rPr>
                <w:rFonts w:hint="eastAsia" w:ascii="Times New Roman" w:hAnsi="Times New Roman" w:eastAsia="仿宋_GB2312"/>
                <w:sz w:val="28"/>
                <w:szCs w:val="28"/>
              </w:rPr>
              <w:t>专家补贴</w:t>
            </w:r>
          </w:p>
        </w:tc>
        <w:tc>
          <w:tcPr>
            <w:tcW w:w="3685" w:type="dxa"/>
            <w:tcBorders>
              <w:top w:val="single" w:color="auto" w:sz="4" w:space="0"/>
              <w:left w:val="single" w:color="auto" w:sz="4" w:space="0"/>
              <w:bottom w:val="single" w:color="auto" w:sz="4" w:space="0"/>
              <w:right w:val="single" w:color="auto" w:sz="4" w:space="0"/>
            </w:tcBorders>
          </w:tcPr>
          <w:p>
            <w:pPr>
              <w:widowControl/>
              <w:overflowPunct w:val="0"/>
              <w:adjustRightInd w:val="0"/>
              <w:snapToGrid w:val="0"/>
              <w:spacing w:line="320" w:lineRule="exact"/>
              <w:jc w:val="center"/>
              <w:rPr>
                <w:rFonts w:ascii="Times New Roman" w:hAnsi="Times New Roman" w:eastAsia="仿宋_GB2312" w:cs="Times New Roman"/>
                <w:sz w:val="28"/>
                <w:szCs w:val="28"/>
              </w:rPr>
            </w:pPr>
            <w:r>
              <w:rPr>
                <w:rFonts w:hint="eastAsia" w:ascii="Times New Roman" w:hAnsi="Times New Roman" w:eastAsia="仿宋_GB2312"/>
                <w:sz w:val="28"/>
                <w:szCs w:val="28"/>
              </w:rPr>
              <w:t>指在项目单位从事短期（连续在华工作</w:t>
            </w:r>
            <w:r>
              <w:rPr>
                <w:rFonts w:ascii="Times New Roman" w:hAnsi="Times New Roman" w:eastAsia="仿宋_GB2312"/>
                <w:sz w:val="28"/>
                <w:szCs w:val="28"/>
              </w:rPr>
              <w:t>90</w:t>
            </w:r>
            <w:r>
              <w:rPr>
                <w:rFonts w:hint="eastAsia" w:ascii="Times New Roman" w:hAnsi="Times New Roman" w:eastAsia="仿宋_GB2312"/>
                <w:sz w:val="28"/>
                <w:szCs w:val="28"/>
              </w:rPr>
              <w:t>天以内）工作，未签订劳动合同（劳务合同）或工作协议的海外人才在华期间获取的生活补贴。专家补贴按海外人才在国内执行项目天数发放</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overflowPunct w:val="0"/>
              <w:adjustRightInd w:val="0"/>
              <w:snapToGrid w:val="0"/>
              <w:spacing w:line="320" w:lineRule="exact"/>
              <w:jc w:val="center"/>
              <w:rPr>
                <w:rFonts w:ascii="Times New Roman" w:hAnsi="Times New Roman" w:eastAsia="仿宋_GB2312" w:cs="Times New Roman"/>
                <w:sz w:val="28"/>
                <w:szCs w:val="28"/>
              </w:rPr>
            </w:pPr>
            <w:r>
              <w:rPr>
                <w:rFonts w:ascii="Times New Roman" w:hAnsi="Times New Roman" w:eastAsia="仿宋_GB2312"/>
                <w:sz w:val="28"/>
                <w:szCs w:val="28"/>
              </w:rPr>
              <w:t>1000</w:t>
            </w:r>
            <w:r>
              <w:rPr>
                <w:rFonts w:hint="eastAsia" w:ascii="Times New Roman" w:hAnsi="Times New Roman" w:eastAsia="仿宋_GB2312"/>
                <w:sz w:val="28"/>
                <w:szCs w:val="28"/>
              </w:rPr>
              <w:t>元</w:t>
            </w:r>
            <w:r>
              <w:rPr>
                <w:rFonts w:ascii="Times New Roman" w:hAnsi="Times New Roman" w:eastAsia="仿宋_GB2312"/>
                <w:sz w:val="28"/>
                <w:szCs w:val="28"/>
              </w:rPr>
              <w:t>/</w:t>
            </w:r>
            <w:r>
              <w:rPr>
                <w:rFonts w:hint="eastAsia" w:ascii="Times New Roman" w:hAnsi="Times New Roman" w:eastAsia="仿宋_GB2312"/>
                <w:sz w:val="28"/>
                <w:szCs w:val="28"/>
              </w:rPr>
              <w:t>次</w:t>
            </w:r>
          </w:p>
        </w:tc>
        <w:tc>
          <w:tcPr>
            <w:tcW w:w="3685" w:type="dxa"/>
            <w:vMerge w:val="continue"/>
            <w:tcBorders>
              <w:top w:val="single" w:color="auto" w:sz="4" w:space="0"/>
              <w:left w:val="single" w:color="auto" w:sz="4" w:space="0"/>
              <w:bottom w:val="single" w:color="auto" w:sz="4" w:space="0"/>
              <w:right w:val="single" w:color="auto" w:sz="8" w:space="0"/>
            </w:tcBorders>
            <w:vAlign w:val="center"/>
          </w:tcPr>
          <w:p>
            <w:pPr>
              <w:widowControl/>
              <w:jc w:val="left"/>
              <w:rPr>
                <w:rFonts w:ascii="Times New Roman" w:hAnsi="Times New Roman" w:eastAsia="仿宋_GB2312" w:cs="Times New Roman"/>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266" w:hRule="exact"/>
        </w:trPr>
        <w:tc>
          <w:tcPr>
            <w:tcW w:w="993" w:type="dxa"/>
            <w:tcBorders>
              <w:top w:val="single" w:color="auto" w:sz="4" w:space="0"/>
              <w:left w:val="single" w:color="auto" w:sz="8" w:space="0"/>
              <w:bottom w:val="single" w:color="auto" w:sz="8" w:space="0"/>
              <w:right w:val="single" w:color="auto" w:sz="4" w:space="0"/>
            </w:tcBorders>
            <w:vAlign w:val="center"/>
          </w:tcPr>
          <w:p>
            <w:pPr>
              <w:widowControl/>
              <w:overflowPunct w:val="0"/>
              <w:adjustRightInd w:val="0"/>
              <w:snapToGrid w:val="0"/>
              <w:spacing w:line="320" w:lineRule="exact"/>
              <w:jc w:val="center"/>
              <w:rPr>
                <w:rFonts w:ascii="Times New Roman" w:hAnsi="Times New Roman" w:eastAsia="仿宋_GB2312" w:cs="Times New Roman"/>
                <w:sz w:val="28"/>
                <w:szCs w:val="28"/>
              </w:rPr>
            </w:pPr>
            <w:r>
              <w:rPr>
                <w:rFonts w:ascii="Times New Roman" w:hAnsi="Times New Roman" w:eastAsia="仿宋_GB2312"/>
                <w:sz w:val="28"/>
                <w:szCs w:val="28"/>
              </w:rPr>
              <w:t>4</w:t>
            </w:r>
          </w:p>
        </w:tc>
        <w:tc>
          <w:tcPr>
            <w:tcW w:w="1809" w:type="dxa"/>
            <w:tcBorders>
              <w:top w:val="single" w:color="auto" w:sz="4" w:space="0"/>
              <w:left w:val="single" w:color="auto" w:sz="4" w:space="0"/>
              <w:bottom w:val="single" w:color="auto" w:sz="8" w:space="0"/>
              <w:right w:val="single" w:color="auto" w:sz="4" w:space="0"/>
            </w:tcBorders>
            <w:vAlign w:val="center"/>
          </w:tcPr>
          <w:p>
            <w:pPr>
              <w:widowControl/>
              <w:overflowPunct w:val="0"/>
              <w:adjustRightInd w:val="0"/>
              <w:snapToGrid w:val="0"/>
              <w:spacing w:line="320" w:lineRule="exact"/>
              <w:jc w:val="center"/>
              <w:rPr>
                <w:rFonts w:ascii="Times New Roman" w:hAnsi="Times New Roman" w:eastAsia="仿宋_GB2312" w:cs="Times New Roman"/>
                <w:sz w:val="28"/>
                <w:szCs w:val="28"/>
              </w:rPr>
            </w:pPr>
            <w:r>
              <w:rPr>
                <w:rFonts w:hint="eastAsia" w:ascii="Times New Roman" w:hAnsi="Times New Roman" w:eastAsia="仿宋_GB2312"/>
                <w:sz w:val="28"/>
                <w:szCs w:val="28"/>
              </w:rPr>
              <w:t>专家生活费</w:t>
            </w:r>
          </w:p>
        </w:tc>
        <w:tc>
          <w:tcPr>
            <w:tcW w:w="3685" w:type="dxa"/>
            <w:tcBorders>
              <w:top w:val="single" w:color="auto" w:sz="4" w:space="0"/>
              <w:left w:val="single" w:color="auto" w:sz="4" w:space="0"/>
              <w:bottom w:val="single" w:color="auto" w:sz="8" w:space="0"/>
              <w:right w:val="single" w:color="auto" w:sz="4" w:space="0"/>
            </w:tcBorders>
          </w:tcPr>
          <w:p>
            <w:pPr>
              <w:widowControl/>
              <w:overflowPunct w:val="0"/>
              <w:adjustRightInd w:val="0"/>
              <w:snapToGrid w:val="0"/>
              <w:spacing w:line="320" w:lineRule="exact"/>
              <w:jc w:val="center"/>
              <w:rPr>
                <w:rFonts w:ascii="Times New Roman" w:hAnsi="Times New Roman" w:eastAsia="仿宋_GB2312" w:cs="Times New Roman"/>
                <w:sz w:val="28"/>
                <w:szCs w:val="28"/>
              </w:rPr>
            </w:pPr>
          </w:p>
          <w:p>
            <w:pPr>
              <w:widowControl/>
              <w:overflowPunct w:val="0"/>
              <w:adjustRightInd w:val="0"/>
              <w:snapToGrid w:val="0"/>
              <w:spacing w:line="320" w:lineRule="exact"/>
              <w:jc w:val="center"/>
              <w:rPr>
                <w:rFonts w:ascii="Times New Roman" w:hAnsi="Times New Roman" w:eastAsia="仿宋_GB2312"/>
                <w:sz w:val="28"/>
                <w:szCs w:val="28"/>
              </w:rPr>
            </w:pPr>
          </w:p>
          <w:p>
            <w:pPr>
              <w:widowControl/>
              <w:overflowPunct w:val="0"/>
              <w:adjustRightInd w:val="0"/>
              <w:snapToGrid w:val="0"/>
              <w:spacing w:line="320" w:lineRule="exact"/>
              <w:jc w:val="center"/>
              <w:rPr>
                <w:rFonts w:ascii="Times New Roman" w:hAnsi="Times New Roman" w:eastAsia="仿宋_GB2312"/>
                <w:sz w:val="28"/>
                <w:szCs w:val="28"/>
              </w:rPr>
            </w:pPr>
          </w:p>
          <w:p>
            <w:pPr>
              <w:widowControl/>
              <w:overflowPunct w:val="0"/>
              <w:adjustRightInd w:val="0"/>
              <w:snapToGrid w:val="0"/>
              <w:spacing w:line="320" w:lineRule="exact"/>
              <w:jc w:val="center"/>
              <w:rPr>
                <w:rFonts w:ascii="Times New Roman" w:hAnsi="Times New Roman" w:eastAsia="仿宋_GB2312"/>
                <w:sz w:val="28"/>
                <w:szCs w:val="28"/>
              </w:rPr>
            </w:pPr>
          </w:p>
          <w:p>
            <w:pPr>
              <w:widowControl/>
              <w:overflowPunct w:val="0"/>
              <w:adjustRightInd w:val="0"/>
              <w:snapToGrid w:val="0"/>
              <w:spacing w:line="320" w:lineRule="exact"/>
              <w:jc w:val="center"/>
              <w:rPr>
                <w:rFonts w:ascii="Times New Roman" w:hAnsi="Times New Roman" w:eastAsia="仿宋_GB2312" w:cs="Times New Roman"/>
                <w:sz w:val="28"/>
                <w:szCs w:val="28"/>
              </w:rPr>
            </w:pPr>
            <w:r>
              <w:rPr>
                <w:rFonts w:hint="eastAsia" w:ascii="Times New Roman" w:hAnsi="Times New Roman" w:eastAsia="仿宋_GB2312"/>
                <w:sz w:val="28"/>
                <w:szCs w:val="28"/>
              </w:rPr>
              <w:t>指海外人才在华工作期间实际发生的租房（住宿）费。</w:t>
            </w:r>
          </w:p>
        </w:tc>
        <w:tc>
          <w:tcPr>
            <w:tcW w:w="1418" w:type="dxa"/>
            <w:tcBorders>
              <w:top w:val="single" w:color="auto" w:sz="4" w:space="0"/>
              <w:left w:val="single" w:color="auto" w:sz="4" w:space="0"/>
              <w:bottom w:val="single" w:color="auto" w:sz="8" w:space="0"/>
              <w:right w:val="single" w:color="auto" w:sz="4" w:space="0"/>
            </w:tcBorders>
            <w:vAlign w:val="center"/>
          </w:tcPr>
          <w:p>
            <w:pPr>
              <w:widowControl/>
              <w:overflowPunct w:val="0"/>
              <w:adjustRightInd w:val="0"/>
              <w:snapToGrid w:val="0"/>
              <w:spacing w:line="320" w:lineRule="exact"/>
              <w:jc w:val="center"/>
              <w:rPr>
                <w:rFonts w:ascii="Times New Roman" w:hAnsi="Times New Roman" w:eastAsia="仿宋_GB2312" w:cs="Times New Roman"/>
                <w:sz w:val="28"/>
                <w:szCs w:val="28"/>
              </w:rPr>
            </w:pPr>
            <w:r>
              <w:rPr>
                <w:rFonts w:hint="eastAsia" w:ascii="Times New Roman" w:hAnsi="Times New Roman" w:eastAsia="仿宋_GB2312"/>
                <w:sz w:val="28"/>
                <w:szCs w:val="28"/>
              </w:rPr>
              <w:t>据实核销</w:t>
            </w:r>
          </w:p>
        </w:tc>
        <w:tc>
          <w:tcPr>
            <w:tcW w:w="3685" w:type="dxa"/>
            <w:tcBorders>
              <w:top w:val="single" w:color="auto" w:sz="4" w:space="0"/>
              <w:left w:val="single" w:color="auto" w:sz="4" w:space="0"/>
              <w:bottom w:val="single" w:color="auto" w:sz="8" w:space="0"/>
              <w:right w:val="single" w:color="auto" w:sz="8" w:space="0"/>
            </w:tcBorders>
            <w:vAlign w:val="center"/>
          </w:tcPr>
          <w:p>
            <w:pPr>
              <w:overflowPunct w:val="0"/>
              <w:adjustRightInd w:val="0"/>
              <w:snapToGrid w:val="0"/>
              <w:spacing w:line="320" w:lineRule="exact"/>
              <w:rPr>
                <w:rFonts w:ascii="Times New Roman" w:hAnsi="Times New Roman" w:eastAsia="仿宋_GB2312" w:cs="Times New Roman"/>
                <w:sz w:val="28"/>
                <w:szCs w:val="28"/>
              </w:rPr>
            </w:pPr>
            <w:r>
              <w:rPr>
                <w:rFonts w:hint="eastAsia" w:ascii="Times New Roman" w:hAnsi="Times New Roman" w:eastAsia="仿宋_GB2312"/>
                <w:sz w:val="28"/>
                <w:szCs w:val="28"/>
              </w:rPr>
              <w:t>专家生活费是专家租房或住宿费，参照外宾接待相关管理规定执行。住宿安排应注重安全舒适，方便工作，不求奢华。凭住宿发票按专家实际居住天数据实核销。专家在华工作期间长期租房居住的，凭租房合同及其有效发票据实核销。</w:t>
            </w:r>
          </w:p>
        </w:tc>
      </w:tr>
    </w:tbl>
    <w:p>
      <w:pPr>
        <w:overflowPunct w:val="0"/>
        <w:adjustRightInd w:val="0"/>
        <w:snapToGrid w:val="0"/>
        <w:spacing w:line="360" w:lineRule="auto"/>
        <w:rPr>
          <w:rFonts w:ascii="楷体_GB2312" w:hAnsi="Times New Roman" w:eastAsia="楷体_GB2312" w:cs="Times New Roman"/>
          <w:sz w:val="24"/>
          <w:szCs w:val="24"/>
        </w:rPr>
      </w:pPr>
    </w:p>
    <w:p>
      <w:pPr>
        <w:overflowPunct w:val="0"/>
        <w:adjustRightInd w:val="0"/>
        <w:snapToGrid w:val="0"/>
        <w:spacing w:line="360" w:lineRule="auto"/>
        <w:rPr>
          <w:rFonts w:ascii="楷体_GB2312" w:hAnsi="Times New Roman" w:eastAsia="楷体_GB2312"/>
          <w:sz w:val="24"/>
        </w:rPr>
      </w:pPr>
    </w:p>
    <w:p>
      <w:pPr>
        <w:overflowPunct w:val="0"/>
        <w:adjustRightInd w:val="0"/>
        <w:snapToGrid w:val="0"/>
        <w:spacing w:line="360" w:lineRule="auto"/>
        <w:rPr>
          <w:rFonts w:ascii="楷体_GB2312" w:hAnsi="Times New Roman" w:eastAsia="楷体_GB2312"/>
          <w:sz w:val="24"/>
        </w:rPr>
      </w:pPr>
    </w:p>
    <w:p>
      <w:pPr>
        <w:overflowPunct w:val="0"/>
        <w:adjustRightInd w:val="0"/>
        <w:snapToGrid w:val="0"/>
        <w:spacing w:line="360" w:lineRule="auto"/>
        <w:rPr>
          <w:rFonts w:ascii="楷体_GB2312" w:hAnsi="Times New Roman" w:eastAsia="楷体_GB2312"/>
          <w:sz w:val="24"/>
        </w:rPr>
      </w:pPr>
    </w:p>
    <w:p>
      <w:pPr>
        <w:overflowPunct w:val="0"/>
        <w:adjustRightInd w:val="0"/>
        <w:snapToGrid w:val="0"/>
        <w:spacing w:line="360" w:lineRule="auto"/>
        <w:rPr>
          <w:rFonts w:ascii="楷体_GB2312" w:hAnsi="Times New Roman" w:eastAsia="楷体_GB2312"/>
          <w:sz w:val="24"/>
        </w:rPr>
      </w:pPr>
    </w:p>
    <w:p>
      <w:pPr>
        <w:overflowPunct w:val="0"/>
        <w:adjustRightInd w:val="0"/>
        <w:snapToGrid w:val="0"/>
        <w:spacing w:line="360" w:lineRule="auto"/>
        <w:rPr>
          <w:rFonts w:ascii="楷体_GB2312" w:hAnsi="Times New Roman" w:eastAsia="楷体_GB2312"/>
          <w:sz w:val="24"/>
        </w:rPr>
      </w:pPr>
    </w:p>
    <w:p>
      <w:pPr>
        <w:overflowPunct w:val="0"/>
        <w:adjustRightInd w:val="0"/>
        <w:snapToGrid w:val="0"/>
        <w:spacing w:line="360" w:lineRule="auto"/>
        <w:rPr>
          <w:rFonts w:ascii="楷体_GB2312" w:hAnsi="Times New Roman" w:eastAsia="楷体_GB2312"/>
          <w:sz w:val="24"/>
        </w:rPr>
      </w:pPr>
    </w:p>
    <w:p>
      <w:pPr>
        <w:overflowPunct w:val="0"/>
        <w:adjustRightInd w:val="0"/>
        <w:snapToGrid w:val="0"/>
        <w:rPr>
          <w:rFonts w:ascii="楷体_GB2312" w:hAnsi="Times New Roman" w:eastAsia="楷体_GB2312"/>
          <w:sz w:val="28"/>
          <w:szCs w:val="28"/>
        </w:rPr>
      </w:pPr>
    </w:p>
    <w:p>
      <w:pPr>
        <w:overflowPunct w:val="0"/>
        <w:adjustRightInd w:val="0"/>
        <w:snapToGrid w:val="0"/>
        <w:rPr>
          <w:rFonts w:ascii="楷体_GB2312" w:hAnsi="Times New Roman" w:eastAsia="楷体_GB2312"/>
          <w:sz w:val="28"/>
          <w:szCs w:val="28"/>
        </w:rPr>
      </w:pPr>
    </w:p>
    <w:p>
      <w:pPr>
        <w:overflowPunct w:val="0"/>
        <w:adjustRightInd w:val="0"/>
        <w:snapToGrid w:val="0"/>
        <w:rPr>
          <w:rFonts w:ascii="楷体_GB2312" w:hAnsi="Times New Roman" w:eastAsia="楷体_GB2312"/>
          <w:sz w:val="28"/>
          <w:szCs w:val="28"/>
        </w:rPr>
      </w:pPr>
    </w:p>
    <w:p>
      <w:pPr>
        <w:overflowPunct w:val="0"/>
        <w:adjustRightInd w:val="0"/>
        <w:snapToGrid w:val="0"/>
        <w:rPr>
          <w:rFonts w:ascii="楷体_GB2312" w:hAnsi="Times New Roman" w:eastAsia="楷体_GB2312"/>
          <w:sz w:val="28"/>
          <w:szCs w:val="28"/>
        </w:rPr>
      </w:pPr>
    </w:p>
    <w:p>
      <w:pPr>
        <w:overflowPunct w:val="0"/>
        <w:adjustRightInd w:val="0"/>
        <w:snapToGrid w:val="0"/>
        <w:rPr>
          <w:rFonts w:ascii="楷体_GB2312" w:hAnsi="Times New Roman" w:eastAsia="楷体_GB2312"/>
          <w:sz w:val="28"/>
          <w:szCs w:val="28"/>
        </w:rPr>
      </w:pPr>
    </w:p>
    <w:p>
      <w:pPr>
        <w:overflowPunct w:val="0"/>
        <w:adjustRightInd w:val="0"/>
        <w:snapToGrid w:val="0"/>
        <w:rPr>
          <w:rFonts w:ascii="楷体_GB2312" w:hAnsi="Times New Roman" w:eastAsia="楷体_GB2312"/>
          <w:sz w:val="28"/>
          <w:szCs w:val="28"/>
        </w:rPr>
      </w:pPr>
    </w:p>
    <w:p>
      <w:pPr>
        <w:overflowPunct w:val="0"/>
        <w:adjustRightInd w:val="0"/>
        <w:snapToGrid w:val="0"/>
        <w:rPr>
          <w:rFonts w:ascii="楷体_GB2312" w:hAnsi="Times New Roman" w:eastAsia="楷体_GB2312"/>
          <w:sz w:val="28"/>
          <w:szCs w:val="28"/>
        </w:rPr>
      </w:pPr>
    </w:p>
    <w:p>
      <w:pPr>
        <w:overflowPunct w:val="0"/>
        <w:adjustRightInd w:val="0"/>
        <w:snapToGrid w:val="0"/>
        <w:rPr>
          <w:rFonts w:ascii="楷体_GB2312" w:hAnsi="Times New Roman" w:eastAsia="楷体_GB2312"/>
          <w:sz w:val="28"/>
          <w:szCs w:val="28"/>
        </w:rPr>
      </w:pPr>
    </w:p>
    <w:p>
      <w:pPr>
        <w:overflowPunct w:val="0"/>
        <w:adjustRightInd w:val="0"/>
        <w:snapToGrid w:val="0"/>
        <w:rPr>
          <w:rFonts w:ascii="楷体_GB2312" w:hAnsi="Times New Roman" w:eastAsia="楷体_GB2312"/>
          <w:sz w:val="28"/>
          <w:szCs w:val="28"/>
        </w:rPr>
      </w:pPr>
    </w:p>
    <w:p>
      <w:pPr>
        <w:overflowPunct w:val="0"/>
        <w:adjustRightInd w:val="0"/>
        <w:snapToGrid w:val="0"/>
        <w:rPr>
          <w:rFonts w:ascii="楷体_GB2312" w:hAnsi="Times New Roman" w:eastAsia="楷体_GB2312"/>
          <w:sz w:val="28"/>
          <w:szCs w:val="28"/>
        </w:rPr>
      </w:pPr>
    </w:p>
    <w:p>
      <w:pPr>
        <w:overflowPunct w:val="0"/>
        <w:adjustRightInd w:val="0"/>
        <w:snapToGrid w:val="0"/>
        <w:rPr>
          <w:rFonts w:ascii="楷体_GB2312" w:hAnsi="Times New Roman" w:eastAsia="楷体_GB2312"/>
          <w:sz w:val="28"/>
          <w:szCs w:val="28"/>
        </w:rPr>
      </w:pPr>
    </w:p>
    <w:p>
      <w:pPr>
        <w:overflowPunct w:val="0"/>
        <w:adjustRightInd w:val="0"/>
        <w:snapToGrid w:val="0"/>
        <w:rPr>
          <w:rFonts w:ascii="楷体_GB2312" w:hAnsi="Times New Roman" w:eastAsia="楷体_GB2312"/>
          <w:sz w:val="24"/>
          <w:szCs w:val="24"/>
        </w:rPr>
      </w:pPr>
      <w:r>
        <w:rPr>
          <w:rFonts w:hint="eastAsia" w:ascii="楷体_GB2312" w:hAnsi="Times New Roman" w:eastAsia="楷体_GB2312"/>
          <w:sz w:val="28"/>
          <w:szCs w:val="28"/>
        </w:rPr>
        <w:t>注：</w:t>
      </w:r>
      <w:r>
        <w:rPr>
          <w:rFonts w:hint="eastAsia" w:ascii="楷体_GB2312" w:hAnsi="Times New Roman" w:eastAsia="楷体_GB2312"/>
          <w:sz w:val="24"/>
        </w:rPr>
        <w:t>以上标准参照国家科技部发布的《国家外国专家项目和经费管理办法》的规定，如国家科技部颁布新的经费开支范围和标准，则参照新标准执行。单个项目（人才）累计最高补贴额不超过30万元。</w:t>
      </w:r>
    </w:p>
    <w:p>
      <w:pPr>
        <w:overflowPunct w:val="0"/>
        <w:adjustRightInd w:val="0"/>
        <w:snapToGrid w:val="0"/>
        <w:rPr>
          <w:rFonts w:ascii="楷体_GB2312" w:hAnsi="Times New Roman" w:eastAsia="楷体_GB2312"/>
          <w:sz w:val="28"/>
          <w:szCs w:val="28"/>
        </w:r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0000000000000000000"/>
    <w:charset w:val="86"/>
    <w:family w:val="auto"/>
    <w:pitch w:val="default"/>
    <w:sig w:usb0="00000000" w:usb1="00000000" w:usb2="00000012"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1OTA2MzI4ZDlmNjI0YTE0YTk5YWNmYzNkNzg4ZjcifQ=="/>
  </w:docVars>
  <w:rsids>
    <w:rsidRoot w:val="7C161CB9"/>
    <w:rsid w:val="7C161C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2023-06-30T11:31:00Z</dcterms:created>
  <dc:creator>user</dc:creator>
  <cp:lastModifiedBy>user</cp:lastModifiedBy>
  <dcterms:modified xsi:type="dcterms:W3CDTF">2023-06-30T11:31:31Z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EC58B837289E49C18FD0FD625D49EE26_11</vt:lpwstr>
  </property>
</Properties>
</file>