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hd w:val="clear" w:color="auto" w:fill="FFFFFF"/>
        <w:adjustRightInd w:val="0"/>
        <w:snapToGrid w:val="0"/>
        <w:spacing w:beforeLines="50" w:afterLines="50" w:line="360" w:lineRule="auto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在单位领取工薪类型的补贴</w:t>
      </w: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标准</w:t>
      </w:r>
      <w:bookmarkEnd w:id="0"/>
    </w:p>
    <w:tbl>
      <w:tblPr>
        <w:tblStyle w:val="2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361"/>
        <w:gridCol w:w="1182"/>
        <w:gridCol w:w="30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pacing w:val="-4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4"/>
                <w:szCs w:val="21"/>
              </w:rPr>
              <w:t>类  型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pacing w:val="-4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4"/>
                <w:szCs w:val="21"/>
              </w:rPr>
              <w:t>实际支付的计缴所得税的工薪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pacing w:val="-4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4"/>
                <w:szCs w:val="21"/>
              </w:rPr>
              <w:t>补贴比例</w:t>
            </w:r>
          </w:p>
        </w:tc>
        <w:tc>
          <w:tcPr>
            <w:tcW w:w="3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pacing w:val="-4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-4"/>
                <w:szCs w:val="21"/>
              </w:rPr>
              <w:t>单个项目(人才)最高补贴额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高端外国专家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5万元（含）以上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6</w:t>
            </w:r>
            <w:r>
              <w:rPr>
                <w:rFonts w:ascii="宋体" w:hAnsi="宋体" w:eastAsia="宋体" w:cs="Times New Roman"/>
                <w:spacing w:val="-4"/>
                <w:szCs w:val="21"/>
              </w:rPr>
              <w:t>0%</w:t>
            </w:r>
          </w:p>
        </w:tc>
        <w:tc>
          <w:tcPr>
            <w:tcW w:w="3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100万元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其他</w:t>
            </w: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5万元（含）以上、10万元以下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25%</w:t>
            </w:r>
          </w:p>
        </w:tc>
        <w:tc>
          <w:tcPr>
            <w:tcW w:w="301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60万元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10万元（含）以上、20万元以下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30%</w:t>
            </w:r>
          </w:p>
        </w:tc>
        <w:tc>
          <w:tcPr>
            <w:tcW w:w="30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</w:p>
        </w:tc>
        <w:tc>
          <w:tcPr>
            <w:tcW w:w="33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20万元（含）以上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35%</w:t>
            </w:r>
          </w:p>
        </w:tc>
        <w:tc>
          <w:tcPr>
            <w:tcW w:w="30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pacing w:val="-4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注：“高端外国专家”是指《外国人来华工作分类标准（试行）》外国高端人才（A类）第二条规定的“符合国际公认的专业成就认定标准的”外国专家，具体包括诺贝尔奖获得者，发达国家科学院院士、工程院院士，各国科技计划项目成果负责人、首席科学家或主要成员，各国国立研究所或国家实验室主任负责人、高级研究员等外国专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TA2MzI4ZDlmNjI0YTE0YTk5YWNmYzNkNzg4ZjcifQ=="/>
  </w:docVars>
  <w:rsids>
    <w:rsidRoot w:val="314463EA"/>
    <w:rsid w:val="314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2023-06-30T11:30:00Z</dcterms:created>
  <dc:creator>user</dc:creator>
  <cp:lastModifiedBy>user</cp:lastModifiedBy>
  <dcterms:modified xsi:type="dcterms:W3CDTF">2023-06-30T11:31:01Z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FE1B9BAF02B84FC28CCC0D44EA1861E4_11</vt:lpwstr>
  </property>
</Properties>
</file>