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8C" w:rsidRPr="00BE5B8C" w:rsidRDefault="00BE5B8C" w:rsidP="00BE5B8C">
      <w:pPr>
        <w:adjustRightInd w:val="0"/>
        <w:snapToGrid w:val="0"/>
        <w:jc w:val="center"/>
        <w:rPr>
          <w:rFonts w:ascii="Times New Roman" w:eastAsia="华文中宋" w:hAnsi="Times New Roman" w:cs="Times New Roman" w:hint="eastAsia"/>
          <w:color w:val="FF0000"/>
          <w:spacing w:val="-6"/>
          <w:w w:val="58"/>
          <w:sz w:val="86"/>
          <w:szCs w:val="96"/>
        </w:rPr>
      </w:pPr>
      <w:bookmarkStart w:id="0" w:name="Gwzh"/>
    </w:p>
    <w:tbl>
      <w:tblPr>
        <w:tblW w:w="5000" w:type="pct"/>
        <w:jc w:val="center"/>
        <w:tblLook w:val="01E0"/>
      </w:tblPr>
      <w:tblGrid>
        <w:gridCol w:w="7600"/>
        <w:gridCol w:w="1460"/>
      </w:tblGrid>
      <w:tr w:rsidR="00BE5B8C" w:rsidRPr="00BE5B8C" w:rsidTr="00922FE9">
        <w:trPr>
          <w:jc w:val="center"/>
        </w:trPr>
        <w:tc>
          <w:tcPr>
            <w:tcW w:w="4194" w:type="pct"/>
            <w:vAlign w:val="center"/>
          </w:tcPr>
          <w:p w:rsidR="00BE5B8C" w:rsidRP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江苏省工业和信息化厅</w:t>
            </w:r>
          </w:p>
          <w:p w:rsidR="00BE5B8C" w:rsidRP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江苏省发展和改革委员会</w:t>
            </w:r>
          </w:p>
          <w:p w:rsid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</w:t>
            </w:r>
            <w:r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科</w:t>
            </w:r>
            <w:r w:rsidR="008860B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学</w:t>
            </w:r>
            <w:r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技</w:t>
            </w:r>
            <w:r w:rsidR="008860B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术</w:t>
            </w:r>
            <w:r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厅</w:t>
            </w:r>
          </w:p>
          <w:p w:rsid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江苏省财政厅</w:t>
            </w:r>
          </w:p>
          <w:p w:rsidR="00BE5B8C" w:rsidRP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江苏省市场监督管理局</w:t>
            </w:r>
          </w:p>
        </w:tc>
        <w:tc>
          <w:tcPr>
            <w:tcW w:w="806" w:type="pct"/>
            <w:vAlign w:val="center"/>
          </w:tcPr>
          <w:p w:rsidR="00BE5B8C" w:rsidRPr="00BE5B8C" w:rsidRDefault="00BE5B8C" w:rsidP="00BE5B8C">
            <w:pPr>
              <w:spacing w:line="1160" w:lineRule="exact"/>
              <w:rPr>
                <w:rFonts w:ascii="Times New Roman" w:eastAsia="方正小标宋_GBK" w:hAnsi="Times New Roman" w:cs="Times New Roman"/>
                <w:color w:val="FF0000"/>
                <w:w w:val="75"/>
                <w:sz w:val="60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文件</w:t>
            </w:r>
          </w:p>
        </w:tc>
      </w:tr>
    </w:tbl>
    <w:p w:rsidR="00BE5B8C" w:rsidRPr="00BE5B8C" w:rsidRDefault="00BE5B8C" w:rsidP="00BE5B8C">
      <w:pPr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BE5B8C" w:rsidRPr="00BE5B8C" w:rsidRDefault="00BE5B8C" w:rsidP="00BE5B8C">
      <w:pPr>
        <w:ind w:leftChars="100" w:left="210" w:rightChars="100" w:right="21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BE5B8C">
        <w:rPr>
          <w:rFonts w:ascii="Times New Roman" w:eastAsia="方正仿宋_GBK" w:hAnsi="Times New Roman" w:cs="Times New Roman" w:hint="eastAsia"/>
          <w:sz w:val="32"/>
          <w:szCs w:val="32"/>
        </w:rPr>
        <w:t>苏工信装备〔</w:t>
      </w:r>
      <w:r w:rsidRPr="00BE5B8C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BE5B8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BE5B8C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151</w:t>
      </w:r>
      <w:r w:rsidRPr="00BE5B8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tbl>
      <w:tblPr>
        <w:tblW w:w="9022" w:type="dxa"/>
        <w:jc w:val="center"/>
        <w:tblBorders>
          <w:top w:val="single" w:sz="18" w:space="0" w:color="FF0000"/>
        </w:tblBorders>
        <w:tblLook w:val="0000"/>
      </w:tblPr>
      <w:tblGrid>
        <w:gridCol w:w="9022"/>
      </w:tblGrid>
      <w:tr w:rsidR="00BE5B8C" w:rsidRPr="00BE5B8C" w:rsidTr="00922FE9">
        <w:trPr>
          <w:jc w:val="center"/>
        </w:trPr>
        <w:tc>
          <w:tcPr>
            <w:tcW w:w="9022" w:type="dxa"/>
            <w:tcBorders>
              <w:top w:val="single" w:sz="18" w:space="0" w:color="FF0000"/>
            </w:tcBorders>
          </w:tcPr>
          <w:p w:rsidR="00BE5B8C" w:rsidRPr="00BE5B8C" w:rsidRDefault="00BE5B8C" w:rsidP="00BE5B8C">
            <w:pPr>
              <w:ind w:firstLine="42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bookmarkEnd w:id="0"/>
    </w:tbl>
    <w:p w:rsidR="009949AE" w:rsidRDefault="009949AE" w:rsidP="00BE5B8C">
      <w:pPr>
        <w:spacing w:line="59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:rsidR="000A3DE1" w:rsidRDefault="00702DED" w:rsidP="00BE5B8C"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印发江苏省机器人产业</w:t>
      </w:r>
    </w:p>
    <w:p w:rsidR="00702DED" w:rsidRDefault="00702DED" w:rsidP="00BE5B8C">
      <w:pPr>
        <w:adjustRightInd w:val="0"/>
        <w:snapToGrid w:val="0"/>
        <w:spacing w:line="590" w:lineRule="exact"/>
        <w:jc w:val="center"/>
        <w:rPr>
          <w:rFonts w:ascii="黑体" w:eastAsia="黑体" w:hAnsi="黑体" w:cs="方正仿宋_GBK"/>
          <w:sz w:val="32"/>
          <w:szCs w:val="32"/>
        </w:rPr>
      </w:pPr>
      <w:r>
        <w:rPr>
          <w:rFonts w:eastAsia="方正小标宋_GBK"/>
          <w:sz w:val="44"/>
          <w:szCs w:val="44"/>
        </w:rPr>
        <w:t>创新发展</w:t>
      </w:r>
      <w:r w:rsidRPr="009F16CF">
        <w:rPr>
          <w:rFonts w:eastAsia="方正小标宋_GBK" w:hint="eastAsia"/>
          <w:sz w:val="44"/>
          <w:szCs w:val="44"/>
        </w:rPr>
        <w:t>行动方案</w:t>
      </w:r>
      <w:r>
        <w:rPr>
          <w:rFonts w:eastAsia="方正小标宋_GBK" w:hint="eastAsia"/>
          <w:sz w:val="44"/>
          <w:szCs w:val="44"/>
        </w:rPr>
        <w:t>的</w:t>
      </w:r>
      <w:r>
        <w:rPr>
          <w:rFonts w:eastAsia="方正小标宋_GBK"/>
          <w:sz w:val="44"/>
          <w:szCs w:val="44"/>
        </w:rPr>
        <w:t>通知</w:t>
      </w:r>
    </w:p>
    <w:p w:rsidR="00702DED" w:rsidRDefault="00702DED" w:rsidP="00BE5B8C">
      <w:pPr>
        <w:adjustRightInd w:val="0"/>
        <w:snapToGrid w:val="0"/>
        <w:spacing w:line="590" w:lineRule="exact"/>
        <w:rPr>
          <w:rFonts w:ascii="黑体" w:eastAsia="黑体" w:hAnsi="黑体" w:cs="方正仿宋_GBK"/>
          <w:sz w:val="32"/>
          <w:szCs w:val="32"/>
        </w:rPr>
      </w:pPr>
    </w:p>
    <w:p w:rsidR="00702DED" w:rsidRDefault="00702DED" w:rsidP="00BE5B8C">
      <w:pPr>
        <w:adjustRightInd w:val="0"/>
        <w:snapToGrid w:val="0"/>
        <w:spacing w:line="590" w:lineRule="exact"/>
        <w:rPr>
          <w:rFonts w:eastAsia="方正仿宋_GBK"/>
          <w:color w:val="000000"/>
          <w:sz w:val="32"/>
          <w:szCs w:val="32"/>
        </w:rPr>
      </w:pPr>
      <w:r w:rsidRPr="00702DED">
        <w:rPr>
          <w:rFonts w:eastAsia="方正仿宋_GBK" w:hint="eastAsia"/>
          <w:color w:val="000000"/>
          <w:sz w:val="32"/>
          <w:szCs w:val="32"/>
        </w:rPr>
        <w:t>各</w:t>
      </w:r>
      <w:r>
        <w:rPr>
          <w:rFonts w:eastAsia="方正仿宋_GBK" w:hint="eastAsia"/>
          <w:color w:val="000000"/>
          <w:sz w:val="32"/>
          <w:szCs w:val="32"/>
        </w:rPr>
        <w:t>设区市工业和信息化</w:t>
      </w:r>
      <w:r w:rsidR="000A3DE1">
        <w:rPr>
          <w:rFonts w:eastAsia="方正仿宋_GBK" w:hint="eastAsia"/>
          <w:color w:val="000000"/>
          <w:sz w:val="32"/>
          <w:szCs w:val="32"/>
        </w:rPr>
        <w:t>局</w:t>
      </w:r>
      <w:r>
        <w:rPr>
          <w:rFonts w:eastAsia="方正仿宋_GBK"/>
          <w:color w:val="000000"/>
          <w:sz w:val="32"/>
          <w:szCs w:val="32"/>
        </w:rPr>
        <w:t>、</w:t>
      </w:r>
      <w:r>
        <w:rPr>
          <w:rFonts w:eastAsia="方正仿宋_GBK" w:hint="eastAsia"/>
          <w:color w:val="000000"/>
          <w:sz w:val="32"/>
          <w:szCs w:val="32"/>
        </w:rPr>
        <w:t>发展改革</w:t>
      </w:r>
      <w:r w:rsidR="000A3DE1">
        <w:rPr>
          <w:rFonts w:eastAsia="方正仿宋_GBK" w:hint="eastAsia"/>
          <w:color w:val="000000"/>
          <w:sz w:val="32"/>
          <w:szCs w:val="32"/>
        </w:rPr>
        <w:t>委</w:t>
      </w:r>
      <w:r>
        <w:rPr>
          <w:rFonts w:eastAsia="方正仿宋_GBK"/>
          <w:color w:val="000000"/>
          <w:sz w:val="32"/>
          <w:szCs w:val="32"/>
        </w:rPr>
        <w:t>、科技</w:t>
      </w:r>
      <w:r w:rsidR="000A3DE1">
        <w:rPr>
          <w:rFonts w:eastAsia="方正仿宋_GBK" w:hint="eastAsia"/>
          <w:color w:val="000000"/>
          <w:sz w:val="32"/>
          <w:szCs w:val="32"/>
        </w:rPr>
        <w:t>局</w:t>
      </w:r>
      <w:r>
        <w:rPr>
          <w:rFonts w:eastAsia="方正仿宋_GBK"/>
          <w:color w:val="000000"/>
          <w:sz w:val="32"/>
          <w:szCs w:val="32"/>
        </w:rPr>
        <w:t>、财政</w:t>
      </w:r>
      <w:r w:rsidR="000A3DE1">
        <w:rPr>
          <w:rFonts w:eastAsia="方正仿宋_GBK" w:hint="eastAsia"/>
          <w:color w:val="000000"/>
          <w:sz w:val="32"/>
          <w:szCs w:val="32"/>
        </w:rPr>
        <w:t>局</w:t>
      </w:r>
      <w:r>
        <w:rPr>
          <w:rFonts w:eastAsia="方正仿宋_GBK"/>
          <w:color w:val="000000"/>
          <w:sz w:val="32"/>
          <w:szCs w:val="32"/>
        </w:rPr>
        <w:t>、市场</w:t>
      </w:r>
      <w:r w:rsidR="000A3DE1">
        <w:rPr>
          <w:rFonts w:eastAsia="方正仿宋_GBK" w:hint="eastAsia"/>
          <w:color w:val="000000"/>
          <w:sz w:val="32"/>
          <w:szCs w:val="32"/>
        </w:rPr>
        <w:t>监督管理局</w:t>
      </w:r>
      <w:r w:rsidRPr="00702DED">
        <w:rPr>
          <w:rFonts w:eastAsia="方正仿宋_GBK" w:hint="eastAsia"/>
          <w:color w:val="000000"/>
          <w:sz w:val="32"/>
          <w:szCs w:val="32"/>
        </w:rPr>
        <w:t>：</w:t>
      </w:r>
    </w:p>
    <w:p w:rsidR="00702DED" w:rsidRPr="00702DED" w:rsidRDefault="000548D4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0548D4">
        <w:rPr>
          <w:rFonts w:eastAsia="方正仿宋_GBK" w:hint="eastAsia"/>
          <w:color w:val="000000"/>
          <w:sz w:val="32"/>
          <w:szCs w:val="32"/>
        </w:rPr>
        <w:t>为进一步推动全省</w:t>
      </w:r>
      <w:r>
        <w:rPr>
          <w:rFonts w:eastAsia="方正仿宋_GBK" w:hint="eastAsia"/>
          <w:color w:val="000000"/>
          <w:sz w:val="32"/>
          <w:szCs w:val="32"/>
        </w:rPr>
        <w:t>机器人</w:t>
      </w:r>
      <w:r w:rsidRPr="000548D4">
        <w:rPr>
          <w:rFonts w:eastAsia="方正仿宋_GBK" w:hint="eastAsia"/>
          <w:color w:val="000000"/>
          <w:sz w:val="32"/>
          <w:szCs w:val="32"/>
        </w:rPr>
        <w:t>产业高质量发展，省工业和信息化</w:t>
      </w:r>
      <w:r w:rsidRPr="000548D4">
        <w:rPr>
          <w:rFonts w:eastAsia="方正仿宋_GBK" w:hint="eastAsia"/>
          <w:color w:val="000000"/>
          <w:sz w:val="32"/>
          <w:szCs w:val="32"/>
        </w:rPr>
        <w:lastRenderedPageBreak/>
        <w:t>厅、</w:t>
      </w:r>
      <w:r>
        <w:rPr>
          <w:rFonts w:eastAsia="方正仿宋_GBK" w:hint="eastAsia"/>
          <w:color w:val="000000"/>
          <w:sz w:val="32"/>
          <w:szCs w:val="32"/>
        </w:rPr>
        <w:t>省</w:t>
      </w:r>
      <w:r w:rsidRPr="000548D4">
        <w:rPr>
          <w:rFonts w:eastAsia="方正仿宋_GBK" w:hint="eastAsia"/>
          <w:color w:val="000000"/>
          <w:sz w:val="32"/>
          <w:szCs w:val="32"/>
        </w:rPr>
        <w:t>发展改革委、</w:t>
      </w:r>
      <w:r>
        <w:rPr>
          <w:rFonts w:eastAsia="方正仿宋_GBK" w:hint="eastAsia"/>
          <w:color w:val="000000"/>
          <w:sz w:val="32"/>
          <w:szCs w:val="32"/>
        </w:rPr>
        <w:t>省</w:t>
      </w:r>
      <w:r w:rsidRPr="000548D4">
        <w:rPr>
          <w:rFonts w:eastAsia="方正仿宋_GBK" w:hint="eastAsia"/>
          <w:color w:val="000000"/>
          <w:sz w:val="32"/>
          <w:szCs w:val="32"/>
        </w:rPr>
        <w:t>科技厅、</w:t>
      </w:r>
      <w:r w:rsidR="00C81815">
        <w:rPr>
          <w:rFonts w:eastAsia="方正仿宋_GBK" w:hint="eastAsia"/>
          <w:color w:val="000000"/>
          <w:sz w:val="32"/>
          <w:szCs w:val="32"/>
        </w:rPr>
        <w:t>省财政厅</w:t>
      </w:r>
      <w:r w:rsidR="00C81815">
        <w:rPr>
          <w:rFonts w:eastAsia="方正仿宋_GBK"/>
          <w:color w:val="000000"/>
          <w:sz w:val="32"/>
          <w:szCs w:val="32"/>
        </w:rPr>
        <w:t>、</w:t>
      </w:r>
      <w:r>
        <w:rPr>
          <w:rFonts w:eastAsia="方正仿宋_GBK" w:hint="eastAsia"/>
          <w:color w:val="000000"/>
          <w:sz w:val="32"/>
          <w:szCs w:val="32"/>
        </w:rPr>
        <w:t>省</w:t>
      </w:r>
      <w:r w:rsidRPr="000548D4">
        <w:rPr>
          <w:rFonts w:eastAsia="方正仿宋_GBK" w:hint="eastAsia"/>
          <w:color w:val="000000"/>
          <w:sz w:val="32"/>
          <w:szCs w:val="32"/>
        </w:rPr>
        <w:t>市场监督管理局联合制定了</w:t>
      </w:r>
      <w:r w:rsidRPr="00702DED">
        <w:rPr>
          <w:rFonts w:eastAsia="方正仿宋_GBK" w:hint="eastAsia"/>
          <w:color w:val="000000"/>
          <w:sz w:val="32"/>
          <w:szCs w:val="32"/>
        </w:rPr>
        <w:t>《</w:t>
      </w:r>
      <w:r w:rsidRPr="00FB79EC">
        <w:rPr>
          <w:rFonts w:eastAsia="方正仿宋_GBK" w:hint="eastAsia"/>
          <w:color w:val="000000"/>
          <w:sz w:val="32"/>
          <w:szCs w:val="32"/>
        </w:rPr>
        <w:t>江苏省机器人产业创新发展行动方案</w:t>
      </w:r>
      <w:r w:rsidRPr="00702DED">
        <w:rPr>
          <w:rFonts w:eastAsia="方正仿宋_GBK" w:hint="eastAsia"/>
          <w:color w:val="000000"/>
          <w:sz w:val="32"/>
          <w:szCs w:val="32"/>
        </w:rPr>
        <w:t>》</w:t>
      </w:r>
      <w:r>
        <w:rPr>
          <w:rFonts w:eastAsia="方正仿宋_GBK" w:hint="eastAsia"/>
          <w:color w:val="000000"/>
          <w:sz w:val="32"/>
          <w:szCs w:val="32"/>
        </w:rPr>
        <w:t>，</w:t>
      </w:r>
      <w:r w:rsidR="00331B37">
        <w:rPr>
          <w:rFonts w:eastAsia="方正仿宋_GBK" w:hint="eastAsia"/>
          <w:color w:val="000000"/>
          <w:sz w:val="32"/>
          <w:szCs w:val="32"/>
        </w:rPr>
        <w:t>经</w:t>
      </w:r>
      <w:r w:rsidR="00331B37">
        <w:rPr>
          <w:rFonts w:eastAsia="方正仿宋_GBK"/>
          <w:color w:val="000000"/>
          <w:sz w:val="32"/>
          <w:szCs w:val="32"/>
        </w:rPr>
        <w:t>省政府同意，</w:t>
      </w:r>
      <w:r w:rsidR="00FB79EC">
        <w:rPr>
          <w:rFonts w:eastAsia="方正仿宋_GBK" w:hint="eastAsia"/>
          <w:color w:val="000000"/>
          <w:sz w:val="32"/>
          <w:szCs w:val="32"/>
        </w:rPr>
        <w:t>现</w:t>
      </w:r>
      <w:r w:rsidR="00702DED" w:rsidRPr="00702DED">
        <w:rPr>
          <w:rFonts w:eastAsia="方正仿宋_GBK" w:hint="eastAsia"/>
          <w:color w:val="000000"/>
          <w:sz w:val="32"/>
          <w:szCs w:val="32"/>
        </w:rPr>
        <w:t>印发给你们，请</w:t>
      </w:r>
      <w:r w:rsidR="00FB79EC">
        <w:rPr>
          <w:rFonts w:eastAsia="方正仿宋_GBK" w:hint="eastAsia"/>
          <w:color w:val="000000"/>
          <w:sz w:val="32"/>
          <w:szCs w:val="32"/>
        </w:rPr>
        <w:t>结合实际</w:t>
      </w:r>
      <w:r w:rsidR="00702DED" w:rsidRPr="00702DED">
        <w:rPr>
          <w:rFonts w:eastAsia="方正仿宋_GBK" w:hint="eastAsia"/>
          <w:color w:val="000000"/>
          <w:sz w:val="32"/>
          <w:szCs w:val="32"/>
        </w:rPr>
        <w:t>认真</w:t>
      </w:r>
      <w:r w:rsidR="00FB79EC">
        <w:rPr>
          <w:rFonts w:eastAsia="方正仿宋_GBK" w:hint="eastAsia"/>
          <w:color w:val="000000"/>
          <w:sz w:val="32"/>
          <w:szCs w:val="32"/>
        </w:rPr>
        <w:t>贯彻落实</w:t>
      </w:r>
      <w:r w:rsidR="00702DED" w:rsidRPr="00702DED">
        <w:rPr>
          <w:rFonts w:eastAsia="方正仿宋_GBK" w:hint="eastAsia"/>
          <w:color w:val="000000"/>
          <w:sz w:val="32"/>
          <w:szCs w:val="32"/>
        </w:rPr>
        <w:t>。</w:t>
      </w:r>
    </w:p>
    <w:p w:rsidR="00702DED" w:rsidRDefault="00702DED" w:rsidP="00FA3CE7">
      <w:pPr>
        <w:adjustRightInd w:val="0"/>
        <w:snapToGrid w:val="0"/>
        <w:spacing w:line="590" w:lineRule="exact"/>
        <w:jc w:val="center"/>
        <w:rPr>
          <w:rFonts w:eastAsia="方正仿宋_GBK" w:hint="eastAsia"/>
          <w:color w:val="000000"/>
          <w:sz w:val="32"/>
          <w:szCs w:val="32"/>
        </w:rPr>
      </w:pPr>
    </w:p>
    <w:p w:rsidR="00BE5B8C" w:rsidRDefault="00BE5B8C" w:rsidP="00FA3CE7">
      <w:pPr>
        <w:adjustRightInd w:val="0"/>
        <w:snapToGrid w:val="0"/>
        <w:spacing w:line="59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702DED" w:rsidRPr="00702DED" w:rsidRDefault="00702DED" w:rsidP="00FA3CE7">
      <w:pPr>
        <w:adjustRightInd w:val="0"/>
        <w:snapToGrid w:val="0"/>
        <w:spacing w:line="590" w:lineRule="exact"/>
        <w:jc w:val="center"/>
        <w:rPr>
          <w:rFonts w:eastAsia="方正仿宋_GBK"/>
          <w:color w:val="000000"/>
          <w:sz w:val="32"/>
          <w:szCs w:val="32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FA3CE7" w:rsidRPr="008860BC" w:rsidTr="00FA3CE7"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11146">
              <w:rPr>
                <w:rFonts w:ascii="Times New Roman" w:eastAsia="方正仿宋_GBK" w:hAnsi="Times New Roman"/>
                <w:sz w:val="32"/>
                <w:szCs w:val="32"/>
              </w:rPr>
              <w:t>江苏省工业和信息化厅</w:t>
            </w:r>
          </w:p>
        </w:tc>
        <w:tc>
          <w:tcPr>
            <w:tcW w:w="2500" w:type="pct"/>
            <w:vAlign w:val="center"/>
          </w:tcPr>
          <w:p w:rsidR="00FA3CE7" w:rsidRDefault="00FA3CE7" w:rsidP="008860BC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江苏省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发展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和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改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革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委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员会</w:t>
            </w:r>
          </w:p>
        </w:tc>
      </w:tr>
    </w:tbl>
    <w:p w:rsidR="00702DED" w:rsidRDefault="00702DED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702DED" w:rsidRDefault="00702DED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BE5B8C" w:rsidRDefault="00BE5B8C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FA3CE7" w:rsidTr="00FA3CE7"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江苏省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科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学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技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厅</w:t>
            </w:r>
          </w:p>
        </w:tc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311146">
              <w:rPr>
                <w:rFonts w:ascii="Times New Roman" w:eastAsia="方正仿宋_GBK" w:hAnsi="Times New Roman"/>
                <w:sz w:val="32"/>
                <w:szCs w:val="32"/>
              </w:rPr>
              <w:t>江苏省财政厅</w:t>
            </w:r>
          </w:p>
        </w:tc>
      </w:tr>
    </w:tbl>
    <w:p w:rsidR="00702DED" w:rsidRDefault="00702DED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702DED" w:rsidRDefault="00702DED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BE5B8C" w:rsidRDefault="00BE5B8C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FA3CE7" w:rsidTr="00FA3CE7">
        <w:trPr>
          <w:jc w:val="center"/>
        </w:trPr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江苏省市场监督管理局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br/>
            </w:r>
            <w:r w:rsidRPr="00311146">
              <w:rPr>
                <w:rFonts w:ascii="Times New Roman" w:eastAsia="方正仿宋_GBK" w:hAnsi="Times New Roman"/>
                <w:sz w:val="32"/>
                <w:szCs w:val="32"/>
              </w:rPr>
              <w:t>202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  <w:r w:rsidRPr="00311146">
              <w:rPr>
                <w:rFonts w:ascii="Times New Roman" w:eastAsia="方正仿宋_GBK" w:hAnsi="方正仿宋_GBK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  <w:r w:rsidRPr="00311146">
              <w:rPr>
                <w:rFonts w:ascii="Times New Roman" w:eastAsia="方正仿宋_GBK" w:hAnsi="方正仿宋_GBK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17</w:t>
            </w:r>
            <w:bookmarkStart w:id="1" w:name="_GoBack"/>
            <w:bookmarkEnd w:id="1"/>
            <w:r w:rsidRPr="00311146">
              <w:rPr>
                <w:rFonts w:ascii="Times New Roman" w:eastAsia="方正仿宋_GBK" w:hAnsi="方正仿宋_GBK"/>
                <w:sz w:val="32"/>
                <w:szCs w:val="32"/>
              </w:rPr>
              <w:t>日</w:t>
            </w:r>
          </w:p>
        </w:tc>
      </w:tr>
    </w:tbl>
    <w:tbl>
      <w:tblPr>
        <w:tblpPr w:leftFromText="181" w:rightFromText="181" w:tblpXSpec="center" w:tblpYSpec="bottom"/>
        <w:tblOverlap w:val="never"/>
        <w:tblW w:w="4943" w:type="pct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957"/>
      </w:tblGrid>
      <w:tr w:rsidR="00BE5B8C" w:rsidRPr="004E1E39" w:rsidTr="00922FE9">
        <w:tc>
          <w:tcPr>
            <w:tcW w:w="5000" w:type="pct"/>
          </w:tcPr>
          <w:p w:rsidR="00BE5B8C" w:rsidRPr="004E1E39" w:rsidRDefault="00BE5B8C" w:rsidP="00BE5B8C">
            <w:pPr>
              <w:adjustRightInd w:val="0"/>
              <w:snapToGrid w:val="0"/>
              <w:spacing w:beforeLines="30" w:afterLines="30"/>
              <w:ind w:leftChars="50" w:left="105" w:rightChars="50" w:right="105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江苏省工信厅办公室</w:t>
            </w: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           20</w:t>
            </w:r>
            <w:r w:rsidRPr="00160C2F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4</w:t>
            </w: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4</w:t>
            </w: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 w:rsidRPr="00160C2F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7</w:t>
            </w: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>日印发</w:t>
            </w:r>
          </w:p>
        </w:tc>
      </w:tr>
    </w:tbl>
    <w:p w:rsidR="00BE5B8C" w:rsidRDefault="00BE5B8C" w:rsidP="00BE5B8C">
      <w:pPr>
        <w:widowControl/>
        <w:adjustRightInd w:val="0"/>
        <w:snapToGrid w:val="0"/>
        <w:spacing w:line="590" w:lineRule="exact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 w:rsidR="004C5096" w:rsidRDefault="004C5096" w:rsidP="00FA3CE7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 w:rsidR="00B30F51" w:rsidRDefault="00B30F51" w:rsidP="00FA3CE7"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江苏省机器人产业创新发展</w:t>
      </w:r>
      <w:r w:rsidRPr="009F16CF">
        <w:rPr>
          <w:rFonts w:eastAsia="方正小标宋_GBK" w:hint="eastAsia"/>
          <w:sz w:val="44"/>
          <w:szCs w:val="44"/>
        </w:rPr>
        <w:t>行动方案</w:t>
      </w:r>
    </w:p>
    <w:p w:rsidR="00B30F51" w:rsidRDefault="00B30F51" w:rsidP="00FA3CE7"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</w:p>
    <w:p w:rsidR="00B30F51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为贯彻落实工业和信息化部等部门《</w:t>
      </w:r>
      <w:r w:rsidR="00FA3CE7" w:rsidRPr="009178DA">
        <w:rPr>
          <w:rFonts w:ascii="方正仿宋_GBK" w:eastAsia="方正仿宋_GBK" w:hint="eastAsia"/>
          <w:color w:val="000000"/>
          <w:sz w:val="32"/>
          <w:szCs w:val="32"/>
        </w:rPr>
        <w:t>“</w:t>
      </w:r>
      <w:r w:rsidRPr="009178DA">
        <w:rPr>
          <w:rFonts w:ascii="方正仿宋_GBK" w:eastAsia="方正仿宋_GBK" w:hint="eastAsia"/>
          <w:color w:val="000000"/>
          <w:sz w:val="32"/>
          <w:szCs w:val="32"/>
        </w:rPr>
        <w:t>机器人+</w:t>
      </w:r>
      <w:r w:rsidR="00FA3CE7" w:rsidRPr="009178DA"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eastAsia="方正仿宋_GBK"/>
          <w:color w:val="000000"/>
          <w:sz w:val="32"/>
          <w:szCs w:val="32"/>
        </w:rPr>
        <w:t>应用行动实施方案》《人形机器人创新发展指导意见》和</w:t>
      </w:r>
      <w:r w:rsidR="00DF1485">
        <w:rPr>
          <w:rFonts w:eastAsia="方正仿宋_GBK" w:hint="eastAsia"/>
          <w:color w:val="000000"/>
          <w:sz w:val="32"/>
          <w:szCs w:val="32"/>
        </w:rPr>
        <w:t>省委省政府</w:t>
      </w:r>
      <w:r w:rsidRPr="009F16CF">
        <w:rPr>
          <w:rFonts w:eastAsia="方正仿宋_GBK" w:hint="eastAsia"/>
          <w:color w:val="000000"/>
          <w:sz w:val="32"/>
          <w:szCs w:val="32"/>
        </w:rPr>
        <w:t>新型工业化实施方案、</w:t>
      </w:r>
      <w:r w:rsidRPr="009F16CF">
        <w:rPr>
          <w:rFonts w:eastAsia="方正仿宋_GBK"/>
          <w:color w:val="000000"/>
          <w:sz w:val="32"/>
          <w:szCs w:val="32"/>
        </w:rPr>
        <w:t>加快建设制造强省行动方案</w:t>
      </w:r>
      <w:r>
        <w:rPr>
          <w:rFonts w:eastAsia="方正仿宋_GBK"/>
          <w:color w:val="000000"/>
          <w:sz w:val="32"/>
          <w:szCs w:val="32"/>
        </w:rPr>
        <w:t>，紧抓全球新一轮科技革命和产业变革机遇，</w:t>
      </w:r>
      <w:r w:rsidRPr="007D1975">
        <w:rPr>
          <w:rFonts w:eastAsia="方正仿宋_GBK" w:hint="eastAsia"/>
          <w:color w:val="000000"/>
          <w:sz w:val="32"/>
          <w:szCs w:val="32"/>
        </w:rPr>
        <w:t>因地制宜发展新质生产力</w:t>
      </w:r>
      <w:r>
        <w:rPr>
          <w:rFonts w:eastAsia="方正仿宋_GBK" w:hint="eastAsia"/>
          <w:color w:val="000000"/>
          <w:sz w:val="32"/>
          <w:szCs w:val="32"/>
        </w:rPr>
        <w:t>，</w:t>
      </w:r>
      <w:r w:rsidRPr="009F16CF">
        <w:rPr>
          <w:rFonts w:eastAsia="方正仿宋_GBK"/>
          <w:color w:val="000000"/>
          <w:sz w:val="32"/>
          <w:szCs w:val="32"/>
        </w:rPr>
        <w:t>坚持创新驱动、应用牵引、软硬协同、生态培育，以高端化智能化</w:t>
      </w:r>
      <w:r>
        <w:rPr>
          <w:rFonts w:eastAsia="方正仿宋_GBK"/>
          <w:color w:val="000000"/>
          <w:sz w:val="32"/>
          <w:szCs w:val="32"/>
        </w:rPr>
        <w:t>绿色化</w:t>
      </w:r>
      <w:r w:rsidRPr="009F16CF">
        <w:rPr>
          <w:rFonts w:eastAsia="方正仿宋_GBK"/>
          <w:color w:val="000000"/>
          <w:sz w:val="32"/>
          <w:szCs w:val="32"/>
        </w:rPr>
        <w:t>为方向，</w:t>
      </w:r>
      <w:r>
        <w:rPr>
          <w:rFonts w:eastAsia="方正仿宋_GBK"/>
          <w:color w:val="000000"/>
          <w:sz w:val="32"/>
          <w:szCs w:val="32"/>
        </w:rPr>
        <w:t>加快推进我省机器人产业高质量发展，</w:t>
      </w:r>
      <w:r>
        <w:rPr>
          <w:rFonts w:eastAsia="方正仿宋_GBK" w:hint="eastAsia"/>
          <w:color w:val="000000"/>
          <w:sz w:val="32"/>
          <w:szCs w:val="32"/>
        </w:rPr>
        <w:t>助力</w:t>
      </w:r>
      <w:r w:rsidR="00FA3CE7" w:rsidRPr="00B30F51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1650</w:t>
      </w:r>
      <w:r w:rsidR="00FA3CE7" w:rsidRPr="00B30F51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F36FD8">
        <w:rPr>
          <w:rFonts w:ascii="方正仿宋_GBK" w:eastAsia="方正仿宋_GBK" w:hint="eastAsia"/>
          <w:color w:val="000000"/>
          <w:sz w:val="32"/>
          <w:szCs w:val="32"/>
        </w:rPr>
        <w:t>产业体</w:t>
      </w:r>
      <w:r w:rsidRPr="009F16CF">
        <w:rPr>
          <w:rFonts w:eastAsia="方正仿宋_GBK"/>
          <w:color w:val="000000"/>
          <w:sz w:val="32"/>
          <w:szCs w:val="32"/>
        </w:rPr>
        <w:t>系建设，</w:t>
      </w:r>
      <w:r>
        <w:rPr>
          <w:rFonts w:eastAsia="方正仿宋_GBK"/>
          <w:color w:val="000000"/>
          <w:sz w:val="32"/>
          <w:szCs w:val="32"/>
        </w:rPr>
        <w:t>高水平赋能新型工业化，</w:t>
      </w:r>
      <w:r>
        <w:rPr>
          <w:rFonts w:eastAsia="方正仿宋_GBK"/>
          <w:sz w:val="32"/>
          <w:szCs w:val="32"/>
        </w:rPr>
        <w:t>为建设制造强省、创造美好生活提供有力支撑，</w:t>
      </w:r>
      <w:r>
        <w:rPr>
          <w:rFonts w:eastAsia="方正仿宋_GBK"/>
          <w:color w:val="000000"/>
          <w:sz w:val="32"/>
          <w:szCs w:val="32"/>
        </w:rPr>
        <w:t>制定本行动</w:t>
      </w:r>
      <w:r>
        <w:rPr>
          <w:rFonts w:eastAsia="方正仿宋_GBK" w:hint="eastAsia"/>
          <w:color w:val="000000"/>
          <w:sz w:val="32"/>
          <w:szCs w:val="32"/>
        </w:rPr>
        <w:t>方案</w:t>
      </w:r>
      <w:r>
        <w:rPr>
          <w:rFonts w:eastAsia="方正仿宋_GBK"/>
          <w:color w:val="000000"/>
          <w:sz w:val="32"/>
          <w:szCs w:val="32"/>
        </w:rPr>
        <w:t>。</w:t>
      </w:r>
    </w:p>
    <w:p w:rsidR="00D06FD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402D7">
        <w:rPr>
          <w:rFonts w:ascii="方正黑体_GBK" w:eastAsia="方正黑体_GBK" w:hint="eastAsia"/>
          <w:sz w:val="32"/>
          <w:szCs w:val="32"/>
        </w:rPr>
        <w:t>一、主要目标</w:t>
      </w:r>
    </w:p>
    <w:p w:rsidR="00D06FD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16CF">
        <w:rPr>
          <w:rFonts w:eastAsia="方正仿宋_GBK"/>
          <w:color w:val="000000"/>
          <w:sz w:val="32"/>
          <w:szCs w:val="32"/>
        </w:rPr>
        <w:t>到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202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年，我省机器人产业链规模达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2000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亿元左右，机器人核心产业规模达到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250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亿元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以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上，成为全国机器人产业创新发展和集成应用高地，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培育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家具有国际竞争力的机器人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、新增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家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以上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省级以上专精特新企业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、遴选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个标杆示范机器人应用场景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，重点制造业领域机器人密度（每万名员工使用机器人台数）达到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台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万人以上。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到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2027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年，我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省机器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产业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综合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实力达到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国际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先进水平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，机器人成为经济发展、人民生活、社会治理的重要组成。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工业机器人整机综合指标达到国际先进水平，关键零部件性能和可靠性达到国际同类产品水平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服务机器人和特种机器人行业应用深度</w:t>
      </w:r>
      <w:r>
        <w:rPr>
          <w:rFonts w:eastAsia="方正仿宋_GBK"/>
          <w:sz w:val="32"/>
          <w:szCs w:val="32"/>
        </w:rPr>
        <w:lastRenderedPageBreak/>
        <w:t>和广度显著提升，在家政服务、养老助残、医疗康复、教育娱乐、维护巡检、安全应急等领域实现广泛应用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人形机器人</w:t>
      </w:r>
      <w:r w:rsidR="00FA3CE7">
        <w:rPr>
          <w:rFonts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大脑、小脑、肢体</w:t>
      </w:r>
      <w:r w:rsidR="00FA3CE7">
        <w:rPr>
          <w:rFonts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等关键核心技术取得突</w:t>
      </w:r>
      <w:r w:rsidRPr="009F16CF">
        <w:rPr>
          <w:rFonts w:eastAsia="方正仿宋_GBK"/>
          <w:color w:val="000000"/>
          <w:sz w:val="32"/>
          <w:szCs w:val="32"/>
        </w:rPr>
        <w:t>破，大模型等人工智能技术加快发展，典型应用场景</w:t>
      </w:r>
      <w:r w:rsidRPr="009F16CF">
        <w:rPr>
          <w:rFonts w:eastAsia="方正仿宋_GBK" w:hint="eastAsia"/>
          <w:color w:val="000000"/>
          <w:sz w:val="32"/>
          <w:szCs w:val="32"/>
        </w:rPr>
        <w:t>更加</w:t>
      </w:r>
      <w:r w:rsidRPr="009F16CF">
        <w:rPr>
          <w:rFonts w:eastAsia="方正仿宋_GBK"/>
          <w:color w:val="000000"/>
          <w:sz w:val="32"/>
          <w:szCs w:val="32"/>
        </w:rPr>
        <w:t>丰富</w:t>
      </w:r>
      <w:r w:rsidRPr="009F16CF">
        <w:rPr>
          <w:rFonts w:eastAsia="方正仿宋_GBK" w:hint="eastAsia"/>
          <w:color w:val="000000"/>
          <w:sz w:val="32"/>
          <w:szCs w:val="32"/>
        </w:rPr>
        <w:t>，争创国家级产业发展集聚区</w:t>
      </w:r>
      <w:r w:rsidRPr="009F16CF">
        <w:rPr>
          <w:rFonts w:eastAsia="方正仿宋_GBK"/>
          <w:color w:val="000000"/>
          <w:sz w:val="32"/>
          <w:szCs w:val="32"/>
        </w:rPr>
        <w:t>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二、重点任务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（一）加强创新</w:t>
      </w:r>
      <w:r w:rsidRPr="009F16CF">
        <w:rPr>
          <w:rFonts w:eastAsia="方正楷体_GBK" w:hint="eastAsia"/>
          <w:sz w:val="32"/>
          <w:szCs w:val="32"/>
        </w:rPr>
        <w:t>能力</w:t>
      </w:r>
      <w:r>
        <w:rPr>
          <w:rFonts w:eastAsia="方正楷体_GBK"/>
          <w:sz w:val="32"/>
          <w:szCs w:val="32"/>
        </w:rPr>
        <w:t>建设。</w:t>
      </w:r>
      <w:r>
        <w:rPr>
          <w:rFonts w:eastAsia="方正仿宋_GBK"/>
          <w:sz w:val="32"/>
          <w:szCs w:val="32"/>
        </w:rPr>
        <w:t>建设高水平创新载体，培育建设省级机器人制造业创新中心，支持机器人及关键零部件企业建设企业技术中心、研发中心、研究院等各类研发</w:t>
      </w:r>
      <w:r>
        <w:rPr>
          <w:rFonts w:eastAsia="方正仿宋_GBK" w:hint="eastAsia"/>
          <w:sz w:val="32"/>
          <w:szCs w:val="32"/>
        </w:rPr>
        <w:t>平台</w:t>
      </w:r>
      <w:r>
        <w:rPr>
          <w:rFonts w:eastAsia="方正仿宋_GBK"/>
          <w:sz w:val="32"/>
          <w:szCs w:val="32"/>
        </w:rPr>
        <w:t>。发挥机器人重点实验室、工程（技术）研究中心等作用，加快创新成果转化。聚焦补短板锻长板，</w:t>
      </w:r>
      <w:r w:rsidRPr="009F16CF">
        <w:rPr>
          <w:rFonts w:eastAsia="方正仿宋_GBK"/>
          <w:color w:val="000000"/>
          <w:sz w:val="32"/>
          <w:szCs w:val="32"/>
        </w:rPr>
        <w:t>支持</w:t>
      </w:r>
      <w:r w:rsidR="00FA3CE7" w:rsidRPr="009F16CF">
        <w:rPr>
          <w:rFonts w:eastAsia="方正仿宋_GBK" w:hint="eastAsia"/>
          <w:color w:val="000000"/>
          <w:sz w:val="32"/>
          <w:szCs w:val="32"/>
        </w:rPr>
        <w:t>“</w:t>
      </w:r>
      <w:r w:rsidRPr="009F16CF">
        <w:rPr>
          <w:rFonts w:eastAsia="方正仿宋_GBK"/>
          <w:color w:val="000000"/>
          <w:sz w:val="32"/>
          <w:szCs w:val="32"/>
        </w:rPr>
        <w:t>链主</w:t>
      </w:r>
      <w:r w:rsidR="00FA3CE7" w:rsidRPr="009F16CF">
        <w:rPr>
          <w:rFonts w:eastAsia="方正仿宋_GBK" w:hint="eastAsia"/>
          <w:color w:val="000000"/>
          <w:sz w:val="32"/>
          <w:szCs w:val="32"/>
        </w:rPr>
        <w:t>”</w:t>
      </w:r>
      <w:r w:rsidRPr="009F16CF">
        <w:rPr>
          <w:rFonts w:eastAsia="方正仿宋_GBK"/>
          <w:color w:val="000000"/>
          <w:sz w:val="32"/>
          <w:szCs w:val="32"/>
        </w:rPr>
        <w:t>企业及细分领域龙头企业牵头联合产学研用组成创新联合体，协同开展技术攻关和产品研发，加快创新突破，加快人形机器人</w:t>
      </w:r>
      <w:r>
        <w:rPr>
          <w:rFonts w:eastAsia="方正仿宋_GBK"/>
          <w:sz w:val="32"/>
          <w:szCs w:val="32"/>
        </w:rPr>
        <w:t>与元宇宙、脑机接口等前沿技术融合，探索跨学科、跨领域的创新模式。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（二）加快关键核心技术攻关。</w:t>
      </w:r>
      <w:r>
        <w:rPr>
          <w:rFonts w:eastAsia="方正仿宋_GBK"/>
          <w:sz w:val="32"/>
          <w:szCs w:val="32"/>
        </w:rPr>
        <w:t>工业机器人重点围绕高精度减速器、高端伺服系统、高性能控制器、高可靠</w:t>
      </w:r>
      <w:r w:rsidRPr="009F16CF">
        <w:rPr>
          <w:rFonts w:eastAsia="方正仿宋_GBK" w:hint="eastAsia"/>
          <w:sz w:val="32"/>
          <w:szCs w:val="32"/>
        </w:rPr>
        <w:t>高</w:t>
      </w:r>
      <w:r>
        <w:rPr>
          <w:rFonts w:eastAsia="方正仿宋_GBK"/>
          <w:sz w:val="32"/>
          <w:szCs w:val="32"/>
        </w:rPr>
        <w:t>精度编码器等关键零部件</w:t>
      </w:r>
      <w:r w:rsidRPr="00484C1D">
        <w:rPr>
          <w:rFonts w:eastAsia="方正仿宋_GBK" w:hint="eastAsia"/>
          <w:sz w:val="32"/>
          <w:szCs w:val="32"/>
        </w:rPr>
        <w:t>和机器人操作系统</w:t>
      </w:r>
      <w:r>
        <w:rPr>
          <w:rFonts w:eastAsia="方正仿宋_GBK"/>
          <w:sz w:val="32"/>
          <w:szCs w:val="32"/>
        </w:rPr>
        <w:t>开展攻关。服务机器人和特种机器人重点围绕视觉传感器、力觉传感器、能够实现智能抓取、柔性装配、快速更换等功能的智能灵巧作业末端执行器等领域加快创新研发。人形机器人重点突破直线型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/>
          <w:sz w:val="32"/>
          <w:szCs w:val="32"/>
        </w:rPr>
        <w:t>旋转型电驱动关节、全身动力学控制算法、</w:t>
      </w:r>
      <w:r w:rsidRPr="00484C1D">
        <w:rPr>
          <w:rFonts w:eastAsia="方正仿宋_GBK" w:hint="eastAsia"/>
          <w:sz w:val="32"/>
          <w:szCs w:val="32"/>
        </w:rPr>
        <w:t>大模型、</w:t>
      </w:r>
      <w:r>
        <w:rPr>
          <w:rFonts w:eastAsia="方正仿宋_GBK"/>
          <w:sz w:val="32"/>
          <w:szCs w:val="32"/>
        </w:rPr>
        <w:t>电机驱动器、高功率密度空心杯电机、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高性能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MEMS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惯性测量单元、</w:t>
      </w:r>
      <w:r>
        <w:rPr>
          <w:rFonts w:eastAsia="方正仿宋_GBK"/>
          <w:sz w:val="32"/>
          <w:szCs w:val="32"/>
        </w:rPr>
        <w:t>基于人工智能技术的机器人任务训练引擎等关键技术</w:t>
      </w:r>
      <w:r>
        <w:rPr>
          <w:rFonts w:eastAsia="方正仿宋_GBK" w:hint="eastAsia"/>
          <w:sz w:val="32"/>
          <w:szCs w:val="32"/>
        </w:rPr>
        <w:t>，</w:t>
      </w:r>
      <w:r w:rsidRPr="00484C1D">
        <w:rPr>
          <w:rFonts w:eastAsia="方正仿宋_GBK" w:hint="eastAsia"/>
          <w:sz w:val="32"/>
          <w:szCs w:val="32"/>
        </w:rPr>
        <w:t>并研制出人形机器人型号样机</w:t>
      </w:r>
      <w:r>
        <w:rPr>
          <w:rFonts w:eastAsia="方正仿宋_GBK"/>
          <w:sz w:val="32"/>
          <w:szCs w:val="32"/>
        </w:rPr>
        <w:t>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（三）分类培育优质企业。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加大对机器人产业链龙头企业招引，</w:t>
      </w:r>
      <w:r>
        <w:rPr>
          <w:rFonts w:ascii="Times New Roman" w:eastAsia="方正仿宋_GBK" w:hAnsi="Times New Roman" w:cs="Times New Roman"/>
          <w:sz w:val="32"/>
          <w:szCs w:val="32"/>
        </w:rPr>
        <w:t>建立优质企业梯度培育体系，支持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链主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企业整合上下游企业、研发机构等资源，加快培育创新能力强、管理水平优、综合效益好的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领航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企业和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创新型</w:t>
      </w:r>
      <w:r>
        <w:rPr>
          <w:rFonts w:ascii="Times New Roman" w:eastAsia="方正仿宋_GBK" w:hAnsi="Times New Roman" w:cs="Times New Roman"/>
          <w:sz w:val="32"/>
          <w:szCs w:val="32"/>
        </w:rPr>
        <w:t>领军企业。以机器人系统集成应用为重点，加快推进实施智改数转网联，打造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>
        <w:rPr>
          <w:rFonts w:ascii="Times New Roman" w:eastAsia="方正仿宋_GBK" w:hAnsi="Times New Roman" w:cs="Times New Roman"/>
          <w:sz w:val="32"/>
          <w:szCs w:val="32"/>
        </w:rPr>
        <w:t>机器人领域智改数转网联示范车间、示范工厂和标杆企业，培育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>
        <w:rPr>
          <w:rFonts w:ascii="Times New Roman" w:eastAsia="方正仿宋_GBK" w:hAnsi="Times New Roman" w:cs="Times New Roman"/>
          <w:sz w:val="32"/>
          <w:szCs w:val="32"/>
        </w:rPr>
        <w:t>专业水平高、服务能力强的智能制造装备服务商。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工业、特种、服务机器人以及医疗、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人形机器人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等新兴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领域，培育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独角兽企业。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（四）创新产品推广模式。</w:t>
      </w:r>
      <w:r>
        <w:rPr>
          <w:rFonts w:ascii="Times New Roman" w:eastAsia="方正仿宋_GBK" w:hAnsi="Times New Roman" w:cs="Times New Roman"/>
          <w:sz w:val="32"/>
          <w:szCs w:val="32"/>
        </w:rPr>
        <w:t>深入实施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机器人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应用行动，政企协同搭建产品供需对接与应用推广公共服务平台，支持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有条件的地区和企业建立机器人产品体验和推广应用中心，加快家庭服务、教育娱乐、配送餐饮、医疗康复、安全应急等机器人推广，打造机器人应用推广</w:t>
      </w:r>
      <w:r w:rsidR="00FA3CE7" w:rsidRPr="009F16CF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样板间</w:t>
      </w:r>
      <w:r w:rsidR="00FA3CE7" w:rsidRPr="009F16CF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面向制造业、农业、矿山、建筑、医疗、安全生产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商用服务等领域，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组织开展产业链供需对接，促进</w:t>
      </w:r>
      <w:r>
        <w:rPr>
          <w:rFonts w:ascii="Times New Roman" w:eastAsia="方正仿宋_GBK" w:hAnsi="Times New Roman" w:cs="Times New Roman"/>
          <w:sz w:val="32"/>
          <w:szCs w:val="32"/>
        </w:rPr>
        <w:t>制造企业与应用行业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深度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融合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创新共享服务模式，通过短期租赁、系统代运营服务、智能云服务等方式，加强机器人产品推广应用。</w:t>
      </w:r>
      <w:r>
        <w:rPr>
          <w:rFonts w:ascii="Times New Roman" w:eastAsia="方正仿宋_GBK" w:hAnsi="Times New Roman" w:cs="Times New Roman"/>
          <w:sz w:val="32"/>
          <w:szCs w:val="32"/>
        </w:rPr>
        <w:t>聚焦</w:t>
      </w:r>
      <w:r>
        <w:rPr>
          <w:rFonts w:ascii="Times New Roman" w:eastAsia="方正仿宋_GBK" w:hAnsi="Times New Roman" w:cs="Times New Roman"/>
          <w:sz w:val="32"/>
          <w:szCs w:val="32"/>
        </w:rPr>
        <w:t>3C</w:t>
      </w:r>
      <w:r>
        <w:rPr>
          <w:rFonts w:ascii="Times New Roman" w:eastAsia="方正仿宋_GBK" w:hAnsi="Times New Roman" w:cs="Times New Roman"/>
          <w:sz w:val="32"/>
          <w:szCs w:val="32"/>
        </w:rPr>
        <w:t>、汽车、新能源等制造业重点领域，推动人形机器人在装配、转运、检测、维护等工序的应用和推广，拓展人形机器人在医疗、家政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、应急</w:t>
      </w:r>
      <w:r>
        <w:rPr>
          <w:rFonts w:ascii="Times New Roman" w:eastAsia="方正仿宋_GBK" w:hAnsi="Times New Roman" w:cs="Times New Roman"/>
          <w:sz w:val="32"/>
          <w:szCs w:val="32"/>
        </w:rPr>
        <w:t>救援等领域的服务应用。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（五）提升产业技术基础。</w:t>
      </w:r>
      <w:r>
        <w:rPr>
          <w:rFonts w:eastAsia="方正仿宋_GBK"/>
          <w:sz w:val="32"/>
          <w:szCs w:val="32"/>
        </w:rPr>
        <w:t>实施标准规范引领工程，持续推进机器人标准化工作，加强产业标准体系建设，支持骨干企业参</w:t>
      </w:r>
      <w:r>
        <w:rPr>
          <w:rFonts w:eastAsia="方正仿宋_GBK"/>
          <w:sz w:val="32"/>
          <w:szCs w:val="32"/>
        </w:rPr>
        <w:lastRenderedPageBreak/>
        <w:t>与国际、国家和行业标准制定，加快共性技术要求、产品通用规范等标准研究制定。鼓励用户单位和机器人企业联合开展技术试验验证，支持机器人整机企业实施关键零部件验证，推进整机及关键功能部件第三方评价和认证体系建设，提升试验验证能力，满足企业和用户的检测认证需求，提高产品性能与可靠性水平。加快公共技术服务平台建设，鼓励有条件地区建设人形机器人概念验证中心，加快国家智能工业机器人产业计量测试中心建设。谋划布局机器人交易平台、市场与后市场，提供机器人交易评估、场景展示、工程设计、维修保养、再制造等综合服务。</w:t>
      </w:r>
      <w:r w:rsidRPr="009F16CF">
        <w:rPr>
          <w:rFonts w:eastAsia="方正仿宋_GBK" w:hint="eastAsia"/>
          <w:sz w:val="32"/>
          <w:szCs w:val="32"/>
        </w:rPr>
        <w:t>拓展建立底层算力平台，打造智能开源开放平台。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D17AA">
        <w:rPr>
          <w:rFonts w:ascii="Times New Roman" w:eastAsia="方正楷体_GBK" w:hAnsi="Times New Roman" w:cs="Times New Roman" w:hint="eastAsia"/>
          <w:sz w:val="32"/>
          <w:szCs w:val="32"/>
        </w:rPr>
        <w:t>（六）</w:t>
      </w:r>
      <w:r>
        <w:rPr>
          <w:rFonts w:ascii="Times New Roman" w:eastAsia="方正楷体_GBK" w:hAnsi="Times New Roman" w:cs="Times New Roman"/>
          <w:sz w:val="32"/>
          <w:szCs w:val="32"/>
        </w:rPr>
        <w:t>加快产业集聚发展。</w:t>
      </w:r>
      <w:r>
        <w:rPr>
          <w:rFonts w:ascii="Times New Roman" w:eastAsia="方正仿宋_GBK" w:hAnsi="Times New Roman" w:cs="Times New Roman"/>
          <w:sz w:val="32"/>
          <w:szCs w:val="32"/>
        </w:rPr>
        <w:t>推动合理区域布局，引导资源和创新要素向产业基础好、发展潜力大的地区集聚。围绕各地机器人产业基础条件和功能定位，建设一批优势互补、各具特色的机器人产业基地。</w:t>
      </w:r>
      <w:r w:rsidRPr="00C64FEA">
        <w:rPr>
          <w:rFonts w:ascii="Times New Roman" w:eastAsia="方正仿宋_GBK" w:hAnsi="Times New Roman" w:cs="Times New Roman"/>
          <w:sz w:val="32"/>
          <w:szCs w:val="32"/>
        </w:rPr>
        <w:t>南京以工业机器人、特种机器人为重点方向，打造全国领先的工业机器人创新示范应用标杆城市及产业集聚区，发挥在工业软件、人工智能等方面的基础优势，加快推进人形机器人产业布局。</w:t>
      </w:r>
      <w:r w:rsidR="00791D31" w:rsidRPr="00791D31">
        <w:rPr>
          <w:rFonts w:ascii="Times New Roman" w:eastAsia="方正仿宋_GBK" w:hAnsi="Times New Roman" w:cs="Times New Roman" w:hint="eastAsia"/>
          <w:sz w:val="32"/>
          <w:szCs w:val="32"/>
        </w:rPr>
        <w:t>无锡重点发展特种机器人及核心零部件，整零协同提升</w:t>
      </w:r>
      <w:r w:rsidR="00203B25">
        <w:rPr>
          <w:rFonts w:ascii="Times New Roman" w:eastAsia="方正仿宋_GBK" w:hAnsi="Times New Roman" w:cs="Times New Roman" w:hint="eastAsia"/>
          <w:sz w:val="32"/>
          <w:szCs w:val="32"/>
        </w:rPr>
        <w:t>产品供给能力</w:t>
      </w:r>
      <w:r w:rsidR="002A5A16">
        <w:rPr>
          <w:rFonts w:ascii="Times New Roman" w:eastAsia="方正仿宋_GBK" w:hAnsi="Times New Roman" w:cs="Times New Roman" w:hint="eastAsia"/>
          <w:sz w:val="32"/>
          <w:szCs w:val="32"/>
        </w:rPr>
        <w:t>，加快</w:t>
      </w:r>
      <w:r w:rsidR="002A5A16">
        <w:rPr>
          <w:rFonts w:ascii="Times New Roman" w:eastAsia="方正仿宋_GBK" w:hAnsi="Times New Roman" w:cs="Times New Roman"/>
          <w:sz w:val="32"/>
          <w:szCs w:val="32"/>
        </w:rPr>
        <w:t>特色产业集群</w:t>
      </w:r>
      <w:r w:rsidR="002A5A16">
        <w:rPr>
          <w:rFonts w:ascii="Times New Roman" w:eastAsia="方正仿宋_GBK" w:hAnsi="Times New Roman" w:cs="Times New Roman" w:hint="eastAsia"/>
          <w:sz w:val="32"/>
          <w:szCs w:val="32"/>
        </w:rPr>
        <w:t>建设</w:t>
      </w:r>
      <w:r w:rsidR="00791D3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C64FEA">
        <w:rPr>
          <w:rFonts w:ascii="Times New Roman" w:eastAsia="方正仿宋_GBK" w:hAnsi="Times New Roman" w:cs="Times New Roman"/>
          <w:sz w:val="32"/>
          <w:szCs w:val="32"/>
        </w:rPr>
        <w:t>常州重点发展工业机器人、人形机器人及核心零部件，发挥产学研优势和高端装备制造能力优势，加快产业创新集聚。苏州重点发展工业机器人、服务机器人、人形机器人及核心零部件，推进机器人在制造业、医疗康养、商业服务等领域的集成应用，加快产业集群化发展。</w:t>
      </w:r>
      <w:r w:rsidRPr="00C64FEA">
        <w:rPr>
          <w:rFonts w:ascii="Times New Roman" w:eastAsia="方正仿宋_GBK" w:hAnsi="Times New Roman" w:cs="Times New Roman"/>
          <w:sz w:val="32"/>
          <w:szCs w:val="32"/>
        </w:rPr>
        <w:lastRenderedPageBreak/>
        <w:t>南通重点推进工业机器人及核心零部件研发创新，打造具有自主特色的机器人小镇。</w:t>
      </w:r>
    </w:p>
    <w:p w:rsidR="00B30F51" w:rsidRPr="00C64FEA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（七）</w:t>
      </w:r>
      <w:r w:rsidRPr="009D17AA">
        <w:rPr>
          <w:rFonts w:ascii="Times New Roman" w:eastAsia="方正楷体_GBK" w:hAnsi="Times New Roman" w:cs="Times New Roman" w:hint="eastAsia"/>
          <w:sz w:val="32"/>
          <w:szCs w:val="32"/>
        </w:rPr>
        <w:t>推进产业生态建设。</w:t>
      </w:r>
      <w:r w:rsidRPr="009D17AA">
        <w:rPr>
          <w:rFonts w:ascii="Times New Roman" w:eastAsia="方正仿宋_GBK" w:hAnsi="Times New Roman" w:cs="Times New Roman" w:hint="eastAsia"/>
          <w:sz w:val="32"/>
          <w:szCs w:val="32"/>
        </w:rPr>
        <w:t>构建机器人产业良好生态圈，引导机器人企业通过不同环节之间的协同合作，促进机器人技术创新和进步。加强国际产业安全合作，推动机器人产业链供应链多元化。强化网络安全防护，提升信息获取、数据交互、数据安全等技术保障能力。深化科技伦理风险研判，加快推进相关伦理标准规范研究制订，促进技术创新与科技伦理协调发展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三、保障措施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（一）加强组织领导。</w:t>
      </w:r>
      <w:r>
        <w:rPr>
          <w:rFonts w:eastAsia="方正仿宋_GBK"/>
          <w:sz w:val="32"/>
          <w:szCs w:val="32"/>
        </w:rPr>
        <w:t>发挥省制造强省建设领导小组作用，统筹协调全省机器人产业发展的</w:t>
      </w:r>
      <w:r w:rsidRPr="009F16CF">
        <w:rPr>
          <w:rFonts w:eastAsia="方正仿宋_GBK" w:hint="eastAsia"/>
          <w:sz w:val="32"/>
          <w:szCs w:val="32"/>
        </w:rPr>
        <w:t>战略研究、</w:t>
      </w:r>
      <w:r>
        <w:rPr>
          <w:rFonts w:eastAsia="方正仿宋_GBK"/>
          <w:sz w:val="32"/>
          <w:szCs w:val="32"/>
        </w:rPr>
        <w:t>重大决策、工作部署。建立省市联动、部门协同的工作机制，加强产业发展形势研判，协同推进重点任务落实，推动产业健康有序发展。各地、各有关单位要结合实际，加大工作推进力度，主动谋划推进一批重大项目、重要载体的建设和应用示范推广工作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（二）加大政策支持。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用足用好江苏省制造强省建设专项资金，并统筹现有各类省级专项资金，加大对符合条件的机器人产业重大项目、重大研发平台建设的支持力度。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2024-2026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年期间，组织实施制造业创新中心创新能力建设项目，单个项目支持额度最高不超过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3000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万元；组织实施协同攻关项目，单个项目支持额度最高不超过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600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万元；组织实施首台（套）重大装备示范应用项目，单个项目支持额度最高不超过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200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万元；组织实施优秀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服务商扶持项目，对符合条件的服务商给予一次性扶持资金最高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100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万元。对具有市场推广前景并符合条件的机器人创新产品，推荐首台套、首版次产品政策支持。</w:t>
      </w:r>
      <w:r w:rsidRPr="00453FC3">
        <w:rPr>
          <w:rFonts w:ascii="Times New Roman" w:eastAsia="方正仿宋_GBK" w:hAnsi="Times New Roman" w:cs="Times New Roman"/>
          <w:sz w:val="32"/>
          <w:szCs w:val="32"/>
        </w:rPr>
        <w:t>支持金融机构为机器人企业提供个性化信贷和融资服务，发挥省</w:t>
      </w:r>
      <w:r w:rsidRPr="00453FC3">
        <w:rPr>
          <w:rFonts w:ascii="Times New Roman" w:eastAsia="方正仿宋_GBK" w:hAnsi="Times New Roman" w:cs="Times New Roman" w:hint="eastAsia"/>
          <w:sz w:val="32"/>
          <w:szCs w:val="32"/>
        </w:rPr>
        <w:t>战新</w:t>
      </w:r>
      <w:r w:rsidRPr="00453FC3">
        <w:rPr>
          <w:rFonts w:ascii="Times New Roman" w:eastAsia="方正仿宋_GBK" w:hAnsi="Times New Roman" w:cs="Times New Roman"/>
          <w:sz w:val="32"/>
          <w:szCs w:val="32"/>
        </w:rPr>
        <w:t>产业发展基金的引导带动作用，引导社会资本参与</w:t>
      </w:r>
      <w:r w:rsidRPr="00453FC3">
        <w:rPr>
          <w:rFonts w:ascii="Times New Roman" w:eastAsia="方正仿宋_GBK" w:hAnsi="Times New Roman" w:cs="Times New Roman" w:hint="eastAsia"/>
          <w:sz w:val="32"/>
          <w:szCs w:val="32"/>
        </w:rPr>
        <w:t>机器人项目投资，加强对早期前瞻创新型项目的投入</w:t>
      </w:r>
      <w:r w:rsidRPr="00453FC3">
        <w:rPr>
          <w:rFonts w:ascii="Times New Roman" w:eastAsia="方正仿宋_GBK" w:hAnsi="Times New Roman" w:cs="Times New Roman"/>
          <w:sz w:val="32"/>
          <w:szCs w:val="32"/>
        </w:rPr>
        <w:t>，为企业提供资金支持、并购</w:t>
      </w:r>
      <w:r>
        <w:rPr>
          <w:rFonts w:eastAsia="方正仿宋_GBK"/>
          <w:sz w:val="32"/>
          <w:szCs w:val="32"/>
        </w:rPr>
        <w:t>重组等服务。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（三）强化人才支撑。</w:t>
      </w:r>
      <w:r>
        <w:rPr>
          <w:rFonts w:eastAsia="方正仿宋_GBK"/>
          <w:sz w:val="32"/>
          <w:szCs w:val="32"/>
        </w:rPr>
        <w:t>加强机器人相关学科专业人才培养，鼓励机器人企业与高等院校、科研院所等合作，创新产学研合作培养模式，共同培养跨学科的交叉复合型人才和工程型人才，增强高水平人才供给。大力弘扬工匠精神，加强职业教育、技术再培训等，大力培育产业应用型人才</w:t>
      </w:r>
      <w:r>
        <w:rPr>
          <w:rFonts w:eastAsia="方正仿宋_GBK" w:hint="eastAsia"/>
          <w:sz w:val="32"/>
          <w:szCs w:val="32"/>
        </w:rPr>
        <w:t>，</w:t>
      </w:r>
      <w:r w:rsidRPr="009F16CF">
        <w:rPr>
          <w:rFonts w:eastAsia="方正仿宋_GBK" w:hint="eastAsia"/>
          <w:sz w:val="32"/>
          <w:szCs w:val="32"/>
        </w:rPr>
        <w:t>加强科普教育</w:t>
      </w:r>
      <w:r>
        <w:rPr>
          <w:rFonts w:eastAsia="方正仿宋_GBK"/>
          <w:sz w:val="32"/>
          <w:szCs w:val="32"/>
        </w:rPr>
        <w:t>。</w:t>
      </w:r>
    </w:p>
    <w:p w:rsidR="00B30F51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（四）创造良好环境。</w:t>
      </w:r>
      <w:r>
        <w:rPr>
          <w:rFonts w:eastAsia="方正仿宋_GBK"/>
          <w:sz w:val="32"/>
          <w:szCs w:val="32"/>
        </w:rPr>
        <w:t>发挥行业协会、专家委员会、促进组织等第三方桥梁纽带作用，加强机器人产业动态监测，</w:t>
      </w:r>
      <w:r w:rsidRPr="00B02032">
        <w:rPr>
          <w:rFonts w:eastAsia="方正仿宋_GBK" w:hint="eastAsia"/>
          <w:sz w:val="32"/>
          <w:szCs w:val="32"/>
        </w:rPr>
        <w:t>深入开展机器人技术和产业发展战略研究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及时反馈问题和建议。组织机器人企业参加世界机器人大会、世界智能制造大会等国内外专业展会和大型经贸洽谈活动，提升我省机器人品牌影响力和竞争实力，充分利用国内国外两个市场、两种资源，支持我省机器人产品和服</w:t>
      </w:r>
      <w:r w:rsidRPr="000C67CB">
        <w:rPr>
          <w:rFonts w:ascii="方正仿宋_GBK" w:eastAsia="方正仿宋_GBK" w:hint="eastAsia"/>
          <w:sz w:val="32"/>
          <w:szCs w:val="32"/>
        </w:rPr>
        <w:t>务</w:t>
      </w:r>
      <w:r w:rsidR="00FA3CE7" w:rsidRPr="000C67CB">
        <w:rPr>
          <w:rFonts w:ascii="方正仿宋_GBK" w:eastAsia="方正仿宋_GBK" w:hint="eastAsia"/>
          <w:sz w:val="32"/>
          <w:szCs w:val="32"/>
        </w:rPr>
        <w:t>“</w:t>
      </w:r>
      <w:r w:rsidRPr="000C67CB">
        <w:rPr>
          <w:rFonts w:ascii="方正仿宋_GBK" w:eastAsia="方正仿宋_GBK" w:hint="eastAsia"/>
          <w:sz w:val="32"/>
          <w:szCs w:val="32"/>
        </w:rPr>
        <w:t>走出去</w:t>
      </w:r>
      <w:r w:rsidR="00FA3CE7" w:rsidRPr="000C67CB">
        <w:rPr>
          <w:rFonts w:ascii="方正仿宋_GBK" w:eastAsia="方正仿宋_GBK" w:hint="eastAsia"/>
          <w:sz w:val="32"/>
          <w:szCs w:val="32"/>
        </w:rPr>
        <w:t>”“</w:t>
      </w:r>
      <w:r w:rsidRPr="000C67CB">
        <w:rPr>
          <w:rFonts w:ascii="方正仿宋_GBK" w:eastAsia="方正仿宋_GBK" w:hint="eastAsia"/>
          <w:sz w:val="32"/>
          <w:szCs w:val="32"/>
        </w:rPr>
        <w:t>用起来</w:t>
      </w:r>
      <w:r w:rsidR="00FA3CE7" w:rsidRPr="000C67CB">
        <w:rPr>
          <w:rFonts w:ascii="方正仿宋_GBK"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。</w:t>
      </w:r>
    </w:p>
    <w:p w:rsidR="004C5096" w:rsidRPr="00B30F51" w:rsidRDefault="004C5096" w:rsidP="00BE5B8C">
      <w:pPr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  <w:lang/>
        </w:rPr>
      </w:pPr>
    </w:p>
    <w:sectPr w:rsidR="004C5096" w:rsidRPr="00B30F51" w:rsidSect="00BE5B8C">
      <w:footerReference w:type="default" r:id="rId6"/>
      <w:pgSz w:w="11906" w:h="16838" w:code="9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5D" w:rsidRDefault="00310C5D" w:rsidP="00C7027D">
      <w:r>
        <w:separator/>
      </w:r>
    </w:p>
  </w:endnote>
  <w:endnote w:type="continuationSeparator" w:id="1">
    <w:p w:rsidR="00310C5D" w:rsidRDefault="00310C5D" w:rsidP="00C7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3797"/>
      <w:docPartObj>
        <w:docPartGallery w:val="Page Numbers (Bottom of Page)"/>
        <w:docPartUnique/>
      </w:docPartObj>
    </w:sdtPr>
    <w:sdtContent>
      <w:p w:rsidR="00FA3CE7" w:rsidRDefault="00FA3CE7">
        <w:pPr>
          <w:pStyle w:val="a3"/>
          <w:jc w:val="center"/>
        </w:pPr>
        <w:r w:rsidRPr="00FA3CE7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FA3C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3C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A3C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60BC" w:rsidRPr="008860B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A3CE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FA3CE7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5D" w:rsidRDefault="00310C5D" w:rsidP="00C7027D">
      <w:r>
        <w:separator/>
      </w:r>
    </w:p>
  </w:footnote>
  <w:footnote w:type="continuationSeparator" w:id="1">
    <w:p w:rsidR="00310C5D" w:rsidRDefault="00310C5D" w:rsidP="00C70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wNWJkOWIwZThjOTQxYWQ1NzY3MzJmMDlkMGZmMWQifQ=="/>
  </w:docVars>
  <w:rsids>
    <w:rsidRoot w:val="00B11884"/>
    <w:rsid w:val="00034C46"/>
    <w:rsid w:val="00036CBA"/>
    <w:rsid w:val="000548D4"/>
    <w:rsid w:val="00075101"/>
    <w:rsid w:val="000A1669"/>
    <w:rsid w:val="000A3DE1"/>
    <w:rsid w:val="000A63CD"/>
    <w:rsid w:val="000F5B5F"/>
    <w:rsid w:val="00132B67"/>
    <w:rsid w:val="001339F9"/>
    <w:rsid w:val="00143221"/>
    <w:rsid w:val="00145B63"/>
    <w:rsid w:val="001710C1"/>
    <w:rsid w:val="001832C0"/>
    <w:rsid w:val="001B1C27"/>
    <w:rsid w:val="001B48B7"/>
    <w:rsid w:val="001B5A83"/>
    <w:rsid w:val="001E0DF5"/>
    <w:rsid w:val="00203B25"/>
    <w:rsid w:val="00204BA7"/>
    <w:rsid w:val="002464CB"/>
    <w:rsid w:val="0026147B"/>
    <w:rsid w:val="00271F7A"/>
    <w:rsid w:val="00280420"/>
    <w:rsid w:val="00283B07"/>
    <w:rsid w:val="002A5A16"/>
    <w:rsid w:val="002B2CB5"/>
    <w:rsid w:val="002C4C43"/>
    <w:rsid w:val="002D5AF6"/>
    <w:rsid w:val="002F0100"/>
    <w:rsid w:val="003010AD"/>
    <w:rsid w:val="00310C5D"/>
    <w:rsid w:val="00331B37"/>
    <w:rsid w:val="0034696B"/>
    <w:rsid w:val="003665D2"/>
    <w:rsid w:val="00397838"/>
    <w:rsid w:val="003A0E01"/>
    <w:rsid w:val="004021B7"/>
    <w:rsid w:val="0041269B"/>
    <w:rsid w:val="004459C1"/>
    <w:rsid w:val="00453FC3"/>
    <w:rsid w:val="004644E5"/>
    <w:rsid w:val="0047014C"/>
    <w:rsid w:val="004A0896"/>
    <w:rsid w:val="004B4990"/>
    <w:rsid w:val="004C1579"/>
    <w:rsid w:val="004C2B9A"/>
    <w:rsid w:val="004C5096"/>
    <w:rsid w:val="004D2631"/>
    <w:rsid w:val="004E0279"/>
    <w:rsid w:val="004E6180"/>
    <w:rsid w:val="004E753C"/>
    <w:rsid w:val="005833A1"/>
    <w:rsid w:val="0059373D"/>
    <w:rsid w:val="00597399"/>
    <w:rsid w:val="005C61E2"/>
    <w:rsid w:val="005F6072"/>
    <w:rsid w:val="006022D1"/>
    <w:rsid w:val="00633A27"/>
    <w:rsid w:val="00635CAC"/>
    <w:rsid w:val="00653637"/>
    <w:rsid w:val="00660902"/>
    <w:rsid w:val="0069138F"/>
    <w:rsid w:val="006F7476"/>
    <w:rsid w:val="0070178D"/>
    <w:rsid w:val="00702DED"/>
    <w:rsid w:val="00711FCE"/>
    <w:rsid w:val="00754B8C"/>
    <w:rsid w:val="007622EF"/>
    <w:rsid w:val="00777F2B"/>
    <w:rsid w:val="00787C4C"/>
    <w:rsid w:val="00791D31"/>
    <w:rsid w:val="007C3776"/>
    <w:rsid w:val="007C4D04"/>
    <w:rsid w:val="007D2A1E"/>
    <w:rsid w:val="00805785"/>
    <w:rsid w:val="0082107E"/>
    <w:rsid w:val="008453C8"/>
    <w:rsid w:val="00853407"/>
    <w:rsid w:val="00853F6C"/>
    <w:rsid w:val="00865246"/>
    <w:rsid w:val="00875822"/>
    <w:rsid w:val="00881E69"/>
    <w:rsid w:val="008860BC"/>
    <w:rsid w:val="008C7D18"/>
    <w:rsid w:val="008F58F7"/>
    <w:rsid w:val="009028BF"/>
    <w:rsid w:val="009242BD"/>
    <w:rsid w:val="00934C26"/>
    <w:rsid w:val="0094134F"/>
    <w:rsid w:val="00970316"/>
    <w:rsid w:val="009949AE"/>
    <w:rsid w:val="009C426F"/>
    <w:rsid w:val="00A13569"/>
    <w:rsid w:val="00A20590"/>
    <w:rsid w:val="00A233E8"/>
    <w:rsid w:val="00A43D38"/>
    <w:rsid w:val="00A728FF"/>
    <w:rsid w:val="00B014D5"/>
    <w:rsid w:val="00B11884"/>
    <w:rsid w:val="00B15327"/>
    <w:rsid w:val="00B16E44"/>
    <w:rsid w:val="00B30F51"/>
    <w:rsid w:val="00B44F76"/>
    <w:rsid w:val="00B60B11"/>
    <w:rsid w:val="00BB1431"/>
    <w:rsid w:val="00BB704C"/>
    <w:rsid w:val="00BE5B8C"/>
    <w:rsid w:val="00BF1F8C"/>
    <w:rsid w:val="00C56A34"/>
    <w:rsid w:val="00C7027D"/>
    <w:rsid w:val="00C81815"/>
    <w:rsid w:val="00C87A63"/>
    <w:rsid w:val="00CA6742"/>
    <w:rsid w:val="00CF3180"/>
    <w:rsid w:val="00D06FD0"/>
    <w:rsid w:val="00D37D06"/>
    <w:rsid w:val="00D42F1B"/>
    <w:rsid w:val="00D47802"/>
    <w:rsid w:val="00D84CBC"/>
    <w:rsid w:val="00D85858"/>
    <w:rsid w:val="00D87B0B"/>
    <w:rsid w:val="00D96C7C"/>
    <w:rsid w:val="00DB3E46"/>
    <w:rsid w:val="00DE5A9B"/>
    <w:rsid w:val="00DF1485"/>
    <w:rsid w:val="00E440BF"/>
    <w:rsid w:val="00E44A5F"/>
    <w:rsid w:val="00E62568"/>
    <w:rsid w:val="00EE2CFE"/>
    <w:rsid w:val="00EF4AC0"/>
    <w:rsid w:val="00F40247"/>
    <w:rsid w:val="00F6269A"/>
    <w:rsid w:val="00F66A57"/>
    <w:rsid w:val="00F95D3A"/>
    <w:rsid w:val="00FA3CE7"/>
    <w:rsid w:val="00FB7812"/>
    <w:rsid w:val="00FB79EC"/>
    <w:rsid w:val="00FF7707"/>
    <w:rsid w:val="1960055A"/>
    <w:rsid w:val="37F750B6"/>
    <w:rsid w:val="69156EDA"/>
    <w:rsid w:val="79DB4DFA"/>
    <w:rsid w:val="7AE3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7F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7F2B"/>
    <w:rPr>
      <w:sz w:val="18"/>
      <w:szCs w:val="18"/>
    </w:rPr>
  </w:style>
  <w:style w:type="paragraph" w:styleId="a5">
    <w:name w:val="Normal (Web)"/>
    <w:basedOn w:val="a"/>
    <w:uiPriority w:val="99"/>
    <w:qFormat/>
    <w:rsid w:val="00C7027D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4CBC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02DE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02DED"/>
    <w:rPr>
      <w:kern w:val="2"/>
      <w:sz w:val="21"/>
      <w:szCs w:val="22"/>
    </w:rPr>
  </w:style>
  <w:style w:type="table" w:styleId="a8">
    <w:name w:val="Table Grid"/>
    <w:basedOn w:val="a1"/>
    <w:uiPriority w:val="39"/>
    <w:rsid w:val="00FA3C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Sky123.Org</cp:lastModifiedBy>
  <cp:revision>2</cp:revision>
  <cp:lastPrinted>2024-04-01T01:43:00Z</cp:lastPrinted>
  <dcterms:created xsi:type="dcterms:W3CDTF">2024-04-18T08:40:00Z</dcterms:created>
  <dcterms:modified xsi:type="dcterms:W3CDTF">2024-04-18T08:40:00Z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60B50837502F4B39A9E477C4DF4E43F2_13</vt:lpwstr>
  </property>
</Properties>
</file>