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spacing w:before="100" w:beforeAutospacing="1" w:after="100" w:afterAutospacing="1"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相城区宣传文化人才评审标准（文化产业类）</w:t>
      </w:r>
    </w:p>
    <w:p>
      <w:pPr>
        <w:rPr>
          <w:rFonts w:hint="default"/>
        </w:rPr>
      </w:pPr>
    </w:p>
    <w:tbl>
      <w:tblPr>
        <w:tblStyle w:val="3"/>
        <w:tblW w:w="1375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4111"/>
        <w:gridCol w:w="4110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tblHeader/>
        </w:trPr>
        <w:tc>
          <w:tcPr>
            <w:tcW w:w="24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门  类</w:t>
            </w:r>
          </w:p>
        </w:tc>
        <w:tc>
          <w:tcPr>
            <w:tcW w:w="411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领 军 人 才</w:t>
            </w:r>
          </w:p>
        </w:tc>
        <w:tc>
          <w:tcPr>
            <w:tcW w:w="411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重 点 人 才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拔尖人才</w:t>
            </w:r>
          </w:p>
        </w:tc>
      </w:tr>
    </w:tbl>
    <w:p>
      <w:pPr>
        <w:pStyle w:val="2"/>
        <w:rPr>
          <w:rFonts w:hint="default"/>
        </w:rPr>
      </w:pPr>
    </w:p>
    <w:tbl>
      <w:tblPr>
        <w:tblStyle w:val="3"/>
        <w:tblW w:w="1375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278"/>
        <w:gridCol w:w="4111"/>
        <w:gridCol w:w="4110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2" w:hRule="atLeast"/>
        </w:trPr>
        <w:tc>
          <w:tcPr>
            <w:tcW w:w="113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文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化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产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类</w:t>
            </w:r>
          </w:p>
        </w:tc>
        <w:tc>
          <w:tcPr>
            <w:tcW w:w="127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  <w:t>文化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  <w:t>核心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  <w:t>领域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（1）在相城区登记注册企业，具有独立法人资格，申报人为企业主要创始人（主要负责人）或企业核心知识产权第一作者（第一所有者）。</w:t>
            </w:r>
          </w:p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（2）上年度工业类企业营业额收入超过2500万元，缴纳税费超过130万元或服务业类企业营业额收入超过1500万元，缴纳税费超过60万元。</w:t>
            </w:r>
          </w:p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（3）企业开发的项目在所属行业处于领先地位，拥有核心自主知识产权。所设计、开发生产的作品（产品）获得省级以上奖项。</w:t>
            </w:r>
          </w:p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（4）熟悉文化产业经营管理业务，具有较高的经营管理水平，注重社会效益和经济效益的有机统一。</w:t>
            </w:r>
          </w:p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（5）企业人才结构优良，在职员工学历本科及以上比重原则上不低于30%。</w:t>
            </w:r>
          </w:p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（6）上市企业优先考虑。</w:t>
            </w:r>
          </w:p>
        </w:tc>
        <w:tc>
          <w:tcPr>
            <w:tcW w:w="411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（1）在相城区登记注册企业，具有独立法人资格，申报人为企业主要管理人员，项目带头人或核心技术人才。</w:t>
            </w:r>
          </w:p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（2）上年度工业类企业营业额收入超过1000万元，缴纳税费超过60万元或服务业类企业营业额收入超过1000万元，缴纳税费超过40万元。</w:t>
            </w:r>
          </w:p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（3）企业主导的项目在所属行业具有领导地位，拥有自主知识产权。所设计、开发生产的作品（产品）获得市级以上奖项，获得省级以上奖项的优先考虑。</w:t>
            </w:r>
          </w:p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（4）企业人才结构优良，在职员工学历大专及以上比重原则上不低于30%。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（1）在相城区登记注册企业，具有独立法人资格，申报人为项目带头人或核心技术人才。</w:t>
            </w:r>
          </w:p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（2）上年度工业类企业营业额收入超过500万元，缴纳税费超过30万元或服务业类企业营业额收入超过500万元，缴纳税费超过20万元。</w:t>
            </w:r>
          </w:p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（3）企业主导的项目在所属行业具有较好的示范作用，拥有自主知识产权。所设计、开发生产的作品（产品）获得市级以上奖项的优先考虑。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4" w:hRule="atLeast"/>
        </w:trPr>
        <w:tc>
          <w:tcPr>
            <w:tcW w:w="113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文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化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产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类</w:t>
            </w:r>
          </w:p>
        </w:tc>
        <w:tc>
          <w:tcPr>
            <w:tcW w:w="127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  <w:t>文化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  <w:t>相关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  <w:t>领域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（1）在相城区登记注册企业，具有独立法人资格，申报人为企业主要创始人（主要负责人）或企业核心知识产权第一作者（第一所有者）。</w:t>
            </w:r>
          </w:p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（2）上年度营业收入超过2亿元，缴纳税费超过1000万元。</w:t>
            </w:r>
          </w:p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（3）企业开发的项目在所属行业处领先地位，拥有核心自主知识产权。所设计、开发生产的作品（产品）获得省级以上奖项。</w:t>
            </w:r>
          </w:p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（4）熟悉文化产业经营管理业务，具有较高的经营管理水平，注重社会效益和经济效益的有机统一。</w:t>
            </w:r>
          </w:p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（5）企业人才结构优良，在职员工学历大专及以上比重原则上不低于20%。</w:t>
            </w:r>
          </w:p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（6）上市企业优先考虑。</w:t>
            </w:r>
          </w:p>
        </w:tc>
        <w:tc>
          <w:tcPr>
            <w:tcW w:w="411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（1）在相城区登记注册企业，具有独立法人资格，申报人为企业主要管理人员，项目带头人或核心技术人才。</w:t>
            </w:r>
          </w:p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（2）上年度营业收入超过1亿元，缴纳税费超过500万元。</w:t>
            </w:r>
          </w:p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（3）企业主导的项目在所属行业具有领导地位，拥有自主知识产权。所设计、开发生产的作品（产品）获得市级以上奖项，获得省级以上奖项的优先考虑。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（1）在相城区登记注册企业，具有独立法人资格，申报人为项目带头人或核心技术人才。</w:t>
            </w:r>
          </w:p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（2）上年度营业收入超过5000万元，缴纳税费超过250万元。</w:t>
            </w:r>
          </w:p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（3）企业主导的项目在所属行业具有较好的示范作用，拥有自主知识产权。所设计、开发生产的作品（产品）获得市级以上奖项的优先考虑。</w:t>
            </w:r>
          </w:p>
        </w:tc>
      </w:tr>
    </w:tbl>
    <w:p>
      <w:pPr>
        <w:spacing w:line="360" w:lineRule="exact"/>
        <w:ind w:firstLine="440" w:firstLineChars="100"/>
        <w:rPr>
          <w:rFonts w:hint="default" w:ascii="Times New Roman" w:hAnsi="Times New Roman" w:eastAsia="方正小标宋简体" w:cs="Times New Roman"/>
          <w:sz w:val="44"/>
          <w:szCs w:val="44"/>
          <w:u w:val="single"/>
        </w:rPr>
      </w:pPr>
    </w:p>
    <w:p>
      <w:pPr>
        <w:widowControl/>
        <w:jc w:val="left"/>
        <w:rPr>
          <w:rFonts w:hint="default" w:ascii="Times New Roman" w:hAnsi="Times New Roman" w:cs="Times New Roman"/>
        </w:rPr>
      </w:pPr>
    </w:p>
    <w:p>
      <w:pPr>
        <w:widowControl/>
        <w:jc w:val="left"/>
        <w:rPr>
          <w:rFonts w:hint="default" w:ascii="Times New Roman" w:hAnsi="Times New Roman" w:cs="Times New Roman"/>
        </w:rPr>
      </w:pPr>
    </w:p>
    <w:p>
      <w:pPr>
        <w:spacing w:line="360" w:lineRule="exact"/>
        <w:ind w:firstLine="32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360" w:lineRule="exact"/>
        <w:ind w:firstLine="320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注：分类范围及说明</w:t>
      </w:r>
    </w:p>
    <w:tbl>
      <w:tblPr>
        <w:tblStyle w:val="3"/>
        <w:tblpPr w:leftFromText="180" w:rightFromText="180" w:vertAnchor="page" w:horzAnchor="margin" w:tblpXSpec="center" w:tblpY="2340"/>
        <w:tblW w:w="13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2582"/>
        <w:gridCol w:w="9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0" w:type="dxa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门类</w:t>
            </w:r>
          </w:p>
        </w:tc>
        <w:tc>
          <w:tcPr>
            <w:tcW w:w="2582" w:type="dxa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范围</w:t>
            </w:r>
          </w:p>
        </w:tc>
        <w:tc>
          <w:tcPr>
            <w:tcW w:w="9321" w:type="dxa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文化核心领域</w:t>
            </w:r>
          </w:p>
        </w:tc>
        <w:tc>
          <w:tcPr>
            <w:tcW w:w="258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新闻信息服务</w:t>
            </w:r>
          </w:p>
        </w:tc>
        <w:tc>
          <w:tcPr>
            <w:tcW w:w="9321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含新闻服务、报纸信息服务、广播电视信息服务、互联网信息服务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内容创作生产</w:t>
            </w:r>
          </w:p>
        </w:tc>
        <w:tc>
          <w:tcPr>
            <w:tcW w:w="9321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含出版服务、广播影视节目制作、创作表演服务、数字内容服务、内容保存服务、工艺美术品制造、艺术陶瓷制造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创意设计服务</w:t>
            </w:r>
          </w:p>
        </w:tc>
        <w:tc>
          <w:tcPr>
            <w:tcW w:w="9321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含广告服务、设计服务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文化传播渠道</w:t>
            </w:r>
          </w:p>
        </w:tc>
        <w:tc>
          <w:tcPr>
            <w:tcW w:w="9321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含出版物发行、广播电视节目传输、广播影视发行放映、艺术表演、互联网文化娱乐平台、艺术品拍卖及代理、工艺美术品销售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文化投资运营</w:t>
            </w:r>
          </w:p>
        </w:tc>
        <w:tc>
          <w:tcPr>
            <w:tcW w:w="9321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含文化投资与资产管理、文化企业总部（产业园区）管理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文化娱乐休闲服务</w:t>
            </w:r>
          </w:p>
        </w:tc>
        <w:tc>
          <w:tcPr>
            <w:tcW w:w="9321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含娱乐服务、景区游览服务、休闲观光游览服务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文化相关领域</w:t>
            </w:r>
          </w:p>
        </w:tc>
        <w:tc>
          <w:tcPr>
            <w:tcW w:w="258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文化辅助生产和中介服务</w:t>
            </w:r>
          </w:p>
        </w:tc>
        <w:tc>
          <w:tcPr>
            <w:tcW w:w="9321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含文化辅助用品制造、印刷复制服务、版权服务、会议展览服务、文化经济代理服务、文化设备（用品）出租服务、文化科研培训服务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0" w:type="dxa"/>
            <w:vMerge w:val="continue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文化装备生产</w:t>
            </w:r>
          </w:p>
        </w:tc>
        <w:tc>
          <w:tcPr>
            <w:tcW w:w="9321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含印刷设备制造、广播电视电影设备制造及销售、摄录设备制造及销售、演艺设备制造及销售、游乐游艺设备制造、乐器制造及销售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0" w:type="dxa"/>
            <w:vMerge w:val="continue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文化消费终端生产</w:t>
            </w:r>
          </w:p>
        </w:tc>
        <w:tc>
          <w:tcPr>
            <w:tcW w:w="9321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含文具制造及销售、笔墨制造、玩具制造、节庆用品制造、信息服务终端制造及销售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841FE"/>
    <w:rsid w:val="03C841FE"/>
    <w:rsid w:val="69A5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2021-11-09T02:37:00Z</dcterms:created>
  <dc:creator>今日相城</dc:creator>
  <cp:lastModifiedBy>今日相城</cp:lastModifiedBy>
  <dcterms:modified xsi:type="dcterms:W3CDTF">2021-11-09T02:59:57Z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D35673E47F6D467DAAFD4F7FF5591CFC</vt:lpwstr>
  </property>
</Properties>
</file>