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20" w:lineRule="exact"/>
        <w:ind w:left="0" w:firstLine="0"/>
        <w:textAlignment w:val="auto"/>
        <w:rPr>
          <w:rFonts w:hint="default" w:ascii="黑体" w:hAnsi="黑体" w:eastAsia="黑体" w:cstheme="minorBidi"/>
          <w:snapToGrid w:val="0"/>
          <w:kern w:val="2"/>
          <w:sz w:val="32"/>
          <w:szCs w:val="22"/>
          <w:lang w:val="en-US" w:eastAsia="zh-CN" w:bidi="ar-SA"/>
        </w:rPr>
      </w:pPr>
      <w:r>
        <w:rPr>
          <w:rFonts w:hint="eastAsia" w:ascii="黑体" w:hAnsi="黑体" w:eastAsia="黑体" w:cstheme="minorBidi"/>
          <w:snapToGrid w:val="0"/>
          <w:kern w:val="2"/>
          <w:sz w:val="32"/>
          <w:szCs w:val="22"/>
          <w:lang w:val="en-US" w:eastAsia="zh-CN" w:bidi="ar-SA"/>
        </w:rPr>
        <w:t>附</w:t>
      </w:r>
      <w:bookmarkStart w:id="0" w:name="_GoBack"/>
      <w:r>
        <w:rPr>
          <w:rFonts w:hint="eastAsia" w:ascii="黑体" w:hAnsi="黑体" w:eastAsia="黑体" w:cstheme="minorBidi"/>
          <w:snapToGrid w:val="0"/>
          <w:kern w:val="2"/>
          <w:sz w:val="32"/>
          <w:szCs w:val="22"/>
          <w:lang w:val="en-US" w:eastAsia="zh-CN" w:bidi="ar-SA"/>
        </w:rPr>
        <w:t>件</w:t>
      </w:r>
      <w:bookmarkEnd w:id="0"/>
      <w:r>
        <w:rPr>
          <w:rFonts w:hint="eastAsia" w:ascii="黑体" w:hAnsi="黑体" w:eastAsia="黑体" w:cstheme="minorBidi"/>
          <w:snapToGrid w:val="0"/>
          <w:kern w:val="2"/>
          <w:sz w:val="32"/>
          <w:szCs w:val="22"/>
          <w:lang w:val="en-US" w:eastAsia="zh-CN" w:bidi="ar-SA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2023年度苏州市优秀专利奖一等奖拟获奖项目名单</w:t>
      </w:r>
    </w:p>
    <w:tbl>
      <w:tblPr>
        <w:tblStyle w:val="3"/>
        <w:tblW w:w="87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2390"/>
        <w:gridCol w:w="3320"/>
        <w:gridCol w:w="22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theme="minorBidi"/>
                <w:snapToGrid w:val="0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snapToGrid w:val="0"/>
                <w:kern w:val="2"/>
                <w:sz w:val="32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theme="minorBidi"/>
                <w:snapToGrid w:val="0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snapToGrid w:val="0"/>
                <w:kern w:val="2"/>
                <w:sz w:val="32"/>
                <w:szCs w:val="22"/>
                <w:lang w:val="en-US" w:eastAsia="zh-CN" w:bidi="ar-SA"/>
              </w:rPr>
              <w:t>专利号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theme="minorBidi"/>
                <w:snapToGrid w:val="0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snapToGrid w:val="0"/>
                <w:kern w:val="2"/>
                <w:sz w:val="32"/>
                <w:szCs w:val="22"/>
                <w:lang w:val="en-US" w:eastAsia="zh-CN" w:bidi="ar-SA"/>
              </w:rPr>
              <w:t>项目名称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theme="minorBidi"/>
                <w:snapToGrid w:val="0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snapToGrid w:val="0"/>
                <w:kern w:val="2"/>
                <w:sz w:val="32"/>
                <w:szCs w:val="22"/>
                <w:lang w:val="en-US" w:eastAsia="zh-CN" w:bidi="ar-SA"/>
              </w:rPr>
              <w:t>申报单位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ZL202011609386.8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报文存储方法、报文出入队列方法及存储调度装置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苏州盛科通信股份有限公司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ZL201810677974.1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自动测试设备的触发实现方法及自动测试设备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苏州华兴源创科技股份有限公司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ZL201910779777.5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一种用于抗体药物偶联物的药物毒素PNU-159682的制备方法及其中间体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联宁（苏州）生物制药有限公司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ZL202110857416.5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带砂光面的基板，其制备方法以及镀锡板/镀铬板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江苏沙钢集团有限公司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ZL201811010425.5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一种低温导电银浆及其制备方法与含有其的制品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苏州晶银新材料科技有限公司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ZL20151098999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.0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基于超声图像的双边内中膜的测量方法及系统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飞依诺科技股份有限公司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MmZkOTMwZTQ2MjYxNDYxNWI3MmMyZjZiOGUzNzkifQ=="/>
  </w:docVars>
  <w:rsids>
    <w:rsidRoot w:val="709A1882"/>
    <w:rsid w:val="0D13424E"/>
    <w:rsid w:val="2BC95714"/>
    <w:rsid w:val="5DAC78BD"/>
    <w:rsid w:val="709A1882"/>
    <w:rsid w:val="723CE58A"/>
    <w:rsid w:val="EFFFE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一级标题"/>
    <w:basedOn w:val="1"/>
    <w:qFormat/>
    <w:uiPriority w:val="0"/>
    <w:pPr>
      <w:ind w:firstLine="640"/>
    </w:pPr>
    <w:rPr>
      <w:rFonts w:ascii="黑体" w:hAnsi="黑体" w:eastAsia="黑体"/>
      <w:snapToGrid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2023-11-16T13:25:00Z</dcterms:created>
  <dc:creator>郭</dc:creator>
  <cp:lastModifiedBy>sugou</cp:lastModifiedBy>
  <dcterms:modified xsi:type="dcterms:W3CDTF">2023-11-19T13:10:26Z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B694887012E14C74BDD9FF759B8FF945_11</vt:lpwstr>
  </property>
</Properties>
</file>