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/>
        <w:snapToGrid w:val="0"/>
        <w:spacing w:beforeLines="0" w:afterLines="0" w:line="57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年度省知识产权建设示范（保护示范区）项目申</w:t>
      </w:r>
      <w:r>
        <w:rPr>
          <w:rFonts w:hint="eastAsia" w:ascii="Times New Roman" w:hAnsi="Times New Roman" w:eastAsia="方正小标宋_GBK"/>
          <w:b w:val="0"/>
          <w:bCs w:val="0"/>
          <w:color w:val="000000"/>
          <w:sz w:val="44"/>
          <w:szCs w:val="44"/>
        </w:rPr>
        <w:t>报指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南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</w:rPr>
        <w:t>一、支持</w:t>
      </w: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  <w:lang w:eastAsia="zh-CN"/>
        </w:rPr>
        <w:t>重点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支持我省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知识产权基础好、综合实力强的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设区市、县（市、区）和园区。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黑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  <w:shd w:val="clear" w:color="auto" w:fill="FFFFFF"/>
        </w:rPr>
        <w:t>二、申报主体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设区市、县（市、区）人民政府，园区管委会。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黑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  <w:shd w:val="clear" w:color="auto" w:fill="FFFFFF"/>
        </w:rPr>
        <w:t>三、申报条件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（一）申报创建保护示范区的设区市应符合下列条件：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1.被评为202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年度省知识产权工作真抓实干成效明显地区或被评为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国家知识产权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强市建设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示范城市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国家知识产权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强市建设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试点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城市；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2.已建设国家级知识产权保护中心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3.2023年度非正常专利申请撤回率高于全省平均水平。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（二）申报创建保护示范区的县（市、区）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应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符合下列条件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.被评为202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年度省知识产权工作真抓实干成效明显地区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，或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被评为国家知识产权强县建设示范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已建设国家级知识产权快速维权中心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2.2023年度非正常专利申请撤回率应高于全省平均水平。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（三）申报创建保护示范区的园区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应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符合下列条件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国家级高新技术产业开发区或经济技术开发区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被认定为国家级知识产权强国建设示范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园区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被认定为江苏省知识产权建设示范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（园区），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或建有综合性知识产权保护服务载体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3.2023年度非正常专利申请撤回率应高于全省平均水平。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黑体_GBK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黑体_GBK"/>
          <w:b w:val="0"/>
          <w:bCs w:val="0"/>
          <w:color w:val="auto"/>
          <w:sz w:val="32"/>
          <w:szCs w:val="32"/>
        </w:rPr>
        <w:t>四、项目任务和绩效目标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设区市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任务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default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（1）强化知识产权保护整体部署。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认真贯彻落实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《知识产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权强国建设纲要（2021-2035年）》《“十四五”国家知识产权保护和运用规划》《关于强化知识产权保护的意见》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以及《江苏省知识产权强省建设纲要（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2021-2035年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）》《江苏省“十四五”知识产权发展规划》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《关于强化知识产权保护的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意见》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等相关决策部署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，加强本市知识产权保护工作部署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制定具体落实措施，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强化知识产权创造、运用、保护、管理、服务全链条工作体系。将知识产权保护工作纳入党委政府的重要议事日程，定期召开专题会议研究部署知识产权保护工作。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将知识产权保护工作纳入对县（市、区）党委和政府绩效考核，落实知识产权保护属地责任。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（2） 完善知识产权保护法规政策体系。贯彻落实国家知识产权法律法规和《江苏省知识产权促进和保护条例》，推进知识产权保护地方立法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制定出台知识产权保护地方性法规、政府规章，创新知识产权保护政策措施，形成激励和支撑知识产权保护工作的政策法规体系，并有效实施。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（3） 健全知识产权管理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机制。健全知识产权联席会议制度，充分发挥联席会议知识产权保护协调功能，定期召开会议研究知识产权保护工作。推进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设区市、县（市、区）建设符合知识产权执法要求的队伍，配备专业的知识产权执法人员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加强设区市、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县（市、区）、乡镇知识产权管理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队伍建设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知识产权管理人员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能力水平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。将知识产权保护工作经费纳入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同级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财政预算，加大知识产权保护工作投入力度。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提升知识产权行政保护效能。着力推进知识产权行政执法能力建设，健全行政执法制度规范、程序规范和实体规范。贯彻实施知识产权行政执法专项行动，全面落实行政执法“三项制度”，推行“双随机、一公开”执法监管。不断提升执法办案质量和效能，行政裁决和行政处罚办案数量和质量稳步提升，位居全省前列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长三角、十二省市知识产权执法协作，加强日常执法，依法打击专利、商标、地理标志侵权假冒等违法行为，着力整治非正常专利申请、商标恶意注册、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违法违规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代理行为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 严格知识产权司法保护。贯彻落实国家知识产权司法审判“三合一”改革部署，加强知识产权司法审判、刑事侦查、检察队伍建设，建立健全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技术调查员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、专家咨询、人民陪审员等司法审判工作机制，综合运用诉前禁令、保全、强制执行等措施，积极适用惩罚性赔偿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严厉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打击知识产权侵权假冒违法违规行为。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深入推进知识产权检察综合履职，加大对侵犯知识产权犯罪惩治力度，加强知识产权民事、行政诉讼监督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 推进知识产权执法“两法衔接”。建立知识产权行政执法、刑事司法案件移送制度，健全案件移送实体规范、程序规范，打通知识产权行政机关执法办案发现的刑事案件向司法机关移送、司法机关刑事侦查发现的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行政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违法案件向行政机关移送通道，有效防止以罚代刑或者违法不究。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 构建多元化知识产权纠纷解决机制。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完善知识产权快速协同保护体系，推进各县（市、区）和行业协会、产业园区等设立知识产权维权援助机构，扩大维权援助服务覆盖面。积极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开展知识产权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纠纷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行政调解，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推进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知识产权纠纷行政调解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协议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司法确认工作。推动人民调解组织、知识产权维权援助机构、知识产权服务机构、行业协会设立知识产权纠纷人民调解委员会，快速解决知识产权纠纷。推动知识产权仲裁机构建设以及仲裁工作开展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构建知识产权大保护格局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提升知识产权服务水平。加快构建知识产权公共服务体系，深入实施知识产权公共服务普惠工程，建立知识产权公共服务事项清单化管理机制，深化知识产权业务办理“一站式”服务和“一网通办”，推进本辖区内知识产权数据、信息共享利用以及知识产权公共服务产品普及应用，切实提升知识产权公共服务平台运行效能。推进多元化知识产权服务机构集聚，建设影响力大、示范效应显著的知识产权服务业高质量集聚发展区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推动产业高质量发展。推进关键技术领域知识产权战略，组织开展高价值专利培育，聚焦重点产业集群和标志性产业链，开展专利布局。面向重大科技平台、重点实验室、重大产业创新载体，开展知识产权“产才对接”行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实施专利导航工程，为相关企业自主创新、产业发展、政府决策提供知识产权信息服务支撑。建立完善商标品牌保护机制，制定出台相关政策措施，打造一批享誉国内外的企业商标品牌。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）推进知识产权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领域国际保护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。建立健全海外知识产权纠纷应对指导工作体系，开展海外知识产权纠纷应对指导工作，加强企业海外知识产权维权援助。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涉外知识产权风险监测预警与防控机制，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积极收集整理内外资企业知识产权保护相关诉求，加强针对性信息发布和风险预警。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鼓励保险机构开展知识产权海外侵权责任险等保险业务。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加强宣传引导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。围绕知识产权宣传周等宣传节点制定宣传方案，举办系列宣传活动，引导公众广泛参与。结合本地区工作特色，总结凝练知识产权保护示范区创建中的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先进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做法、典型经验，通过主流媒体、政务信息等形式加强宣传报道。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（1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） 其他特色工作。</w:t>
      </w:r>
    </w:p>
    <w:bookmarkEnd w:id="0"/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color w:val="000000"/>
          <w:sz w:val="32"/>
          <w:szCs w:val="32"/>
        </w:rPr>
        <w:t>2.绩效目标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知识产权管理和执法队伍进一步充实，知识产权管理和执法能力进一步提升，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区域内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行政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执法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案件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年均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增长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5%以上，年度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知识产权执法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案卷评查获评优秀等次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区域内知识产权民事案件一审服判息诉率93%以上；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非正常专利申请率低于全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平均水平，撤回率高于全省平均水平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建设覆盖本辖区各县（市、区）的知识产权快速协同保护体系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知识产权服务集聚效应显著发挥，知识产权综合服务能力明显提升；</w:t>
      </w:r>
    </w:p>
    <w:p>
      <w:pPr>
        <w:pStyle w:val="2"/>
        <w:spacing w:beforeLines="0" w:afterLines="0" w:line="570" w:lineRule="exact"/>
        <w:ind w:firstLine="640" w:firstLineChars="200"/>
        <w:rPr>
          <w:rFonts w:hint="default" w:eastAsia="方正仿宋_GBK"/>
          <w:b w:val="0"/>
          <w:bCs w:val="0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）区域内高价值发明专利占发明专利总数的比重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保持正增长；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default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海外知识产权纠纷应对指导体系进一步健全，海外知识产权纠纷应对和维权援助能力显著提升；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）知识产权保护工作投入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增长，知识产权保护工作经费在本地区财政资金拨付过程中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予以重点考虑或者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较往年适当倾斜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（二）县（市、区）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rPr>
          <w:rFonts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任务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（1） 强化知识产权保护部署实施。</w:t>
      </w:r>
      <w:r>
        <w:rPr>
          <w:rFonts w:hint="eastAsia" w:ascii="宋体" w:hAnsi="宋体" w:eastAsia="方正仿宋_GBK" w:cs="Times New Roman"/>
          <w:b w:val="0"/>
          <w:bCs w:val="0"/>
          <w:color w:val="000000"/>
          <w:sz w:val="32"/>
          <w:szCs w:val="32"/>
          <w:lang w:eastAsia="zh-CN"/>
        </w:rPr>
        <w:t>认真贯彻落实</w:t>
      </w:r>
      <w:r>
        <w:rPr>
          <w:rFonts w:hint="eastAsia" w:ascii="宋体" w:hAnsi="宋体" w:eastAsia="方正仿宋_GBK" w:cs="Times New Roman"/>
          <w:b w:val="0"/>
          <w:bCs w:val="0"/>
          <w:color w:val="000000"/>
          <w:sz w:val="32"/>
          <w:szCs w:val="32"/>
        </w:rPr>
        <w:t>《知识产权强国建设纲要（2021-2035年）》</w:t>
      </w:r>
      <w:r>
        <w:rPr>
          <w:rFonts w:hint="eastAsia" w:ascii="宋体" w:hAnsi="宋体" w:eastAsia="方正仿宋_GBK" w:cs="Times New Roman"/>
          <w:b w:val="0"/>
          <w:bCs w:val="0"/>
          <w:snapToGrid/>
          <w:color w:val="000000"/>
          <w:kern w:val="2"/>
          <w:sz w:val="32"/>
          <w:szCs w:val="32"/>
        </w:rPr>
        <w:t>《“十四五”国家知识产权保护和运用规划》《关于强化知识产权保护的意见》</w:t>
      </w:r>
      <w:r>
        <w:rPr>
          <w:rFonts w:hint="eastAsia" w:ascii="宋体" w:hAnsi="宋体" w:eastAsia="方正仿宋_GBK" w:cs="Times New Roman"/>
          <w:b w:val="0"/>
          <w:bCs w:val="0"/>
          <w:color w:val="000000"/>
          <w:sz w:val="32"/>
          <w:szCs w:val="32"/>
          <w:lang w:eastAsia="zh-CN"/>
        </w:rPr>
        <w:t>以及《江苏省知识产权强省建设纲要（</w:t>
      </w:r>
      <w:r>
        <w:rPr>
          <w:rFonts w:hint="eastAsia" w:ascii="宋体" w:hAnsi="宋体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2021-2035年</w:t>
      </w:r>
      <w:r>
        <w:rPr>
          <w:rFonts w:hint="eastAsia" w:ascii="宋体" w:hAnsi="宋体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）》《江苏省“十四五”知识产权发展规划》</w:t>
      </w:r>
      <w:r>
        <w:rPr>
          <w:rFonts w:hint="eastAsia" w:ascii="宋体" w:hAnsi="宋体" w:eastAsia="方正仿宋_GBK" w:cs="Times New Roman"/>
          <w:b w:val="0"/>
          <w:bCs w:val="0"/>
          <w:snapToGrid/>
          <w:color w:val="000000"/>
          <w:kern w:val="2"/>
          <w:sz w:val="32"/>
          <w:szCs w:val="32"/>
        </w:rPr>
        <w:t>《关于强化知识产权保护的</w:t>
      </w:r>
      <w:r>
        <w:rPr>
          <w:rFonts w:hint="eastAsia" w:ascii="宋体" w:hAnsi="宋体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实施</w:t>
      </w:r>
      <w:r>
        <w:rPr>
          <w:rFonts w:hint="eastAsia" w:ascii="宋体" w:hAnsi="宋体" w:eastAsia="方正仿宋_GBK" w:cs="Times New Roman"/>
          <w:b w:val="0"/>
          <w:bCs w:val="0"/>
          <w:snapToGrid/>
          <w:color w:val="000000"/>
          <w:kern w:val="2"/>
          <w:sz w:val="32"/>
          <w:szCs w:val="32"/>
        </w:rPr>
        <w:t>意见》</w:t>
      </w:r>
      <w:r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  <w:lang w:eastAsia="zh-CN"/>
        </w:rPr>
        <w:t>等相关</w:t>
      </w:r>
      <w:r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  <w:lang w:val="en-US" w:eastAsia="zh-CN"/>
        </w:rPr>
        <w:t>决策部署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，结合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设区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知识产权工作相关规划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，强化知识产权工作整体部署，制定具体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落实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措施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强化知识产权创造、运用、保护、管理、服务全链条工作体系。将知识产权保护工作纳入党委政府的重要议事日程，定期召开专题会议研究部署知识产权保护工作。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（2）加强知识产权管理体系建设。健全知识产权联席会议制度，充分发挥联席会议知识产权保护协调功能，定期召开会议研究知识产权保护工作。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建设符合知识产权执法要求的队伍，配备专业的知识产权执法人员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县（市、区）、乡镇知识产权管理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队伍建设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提高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知识产权管理人员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能力水平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。将知识产权保护工作经费纳入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同级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财政预算，加大知识产权保护工作投入力度。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提升知识产权行政保护效能。着力推进知识产权行政执法能力建设，健全行政执法制度规范、程序规范和实体规范。贯彻实施知识产权行政执法专项行动，全面落实行政执法“三项制度”，推行“双随机、一公开”执法监管。不断提升执法办案质量和效能，行政裁决和行政处罚办案数量和质量稳步提升，位居全省前列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长三角、十二省市知识产权执法协作，加强日常执法，依法打击专利、商标、地理标志侵权假冒等违法行为，着力整治非正常专利申请、商标恶意注册、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违法违规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代理行为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 严格知识产权司法保护。贯彻落实国家知识产权司法审判“三合一”改革部署，加强知识产权司法审判、刑事侦查、检察队伍建设，建立健全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技术调查员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、专家咨询、人民陪审员等司法审判工作机制，综合运用诉前禁令、保全、强制执行等措施，积极适用惩罚性赔偿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严厉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打击知识产权侵权假冒违法违规行为。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深入推进知识产权检察综合履职，加大对侵犯知识产权犯罪惩治力度，加强知识产权民事、行政诉讼监督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推进知识产权执法“两法衔接”。建立知识产权行政执法、刑事司法案件移送制度，健全案件移送实体规范、程序规范，打通知识产权行政机关执法办案发现的刑事案件向司法机关移送、司法机关刑事侦查发现的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违法案件向行政机关移送通道，有效防止以罚代刑或者违法不究。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 构建多元化知识产权纠纷解决机制。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设立知识产权维权援助分中心、工作站，扩大维权援助服务覆盖面。积极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开展知识产权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纠纷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行政调解，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推进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知识产权纠纷行政调解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协议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司法确认工作。推动人民调解组织、知识产权维权援助机构、知识产权服务机构、行业协会设立知识产权纠纷人民调解委员会，快速解决知识产权纠纷。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 xml:space="preserve"> 提升知识产权服务水平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。加强政策引导，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推进多元化知识产权服务机构集聚，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打造知识产权服务业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高质量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集聚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发展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集成专利、商标、版权、种业等知识产权相关的行政、司法、海关、商贸、仲裁、调解等保护综合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服务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“一站式”服务中心，为知识产权权利人、社会公众办理各类知识产权事务提供“一站式”服务，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切实提升知识产权公共服务水平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。建立健全海外知识产权纠纷应对指导工作体系，开展海外知识产权纠纷应对指导工作，加强企业海外知识产权维权援助。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推动产业高质量发展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围绕本地主导产业，组织开展高价值专利培育、实施专利导航工程，为相关企业自主创新、产业发展、政府决策提供知识产权信息服务支撑。加大集体商标、证明商标、地理标志产品培育力度，着力打造地方特色产品和知名品牌。坚持质量导向、运用导向，强化政策引导，促进高质量发明专利、PCT专利、高价值品牌产出和运用，加强知识产权源头保护。</w:t>
      </w:r>
    </w:p>
    <w:p>
      <w:pPr>
        <w:pStyle w:val="2"/>
        <w:spacing w:beforeLines="0" w:afterLines="0" w:line="570" w:lineRule="exact"/>
        <w:ind w:firstLine="640" w:firstLineChars="200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加强宣传引导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。围绕知识产权宣传周等宣传节点制定宣传方案，举办系列宣传活动，引导公众广泛参与。结合本地区工作特色，总结凝练知识产权保护示范区创建中的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先进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做法、典型经验，通过主流媒体、政务信息等形式加强宣传报道。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）其他特色工作。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color w:val="auto"/>
          <w:sz w:val="32"/>
          <w:szCs w:val="32"/>
        </w:rPr>
        <w:t>2.绩效目标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知识产权管理和执法队伍进一步充实，知识产权管理和执法能力进一步提升，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区域内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行政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执法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案件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年均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增长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5%以上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区域内知识产权民事案件一审服判息诉率93%以上；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非正常专利申请率低于全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平均水平，撤回率高于全省平均水平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知识产权维权援助体系进一步完善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知识产权服务集聚效应显著发挥，知识产权综合服务能力明显提升；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default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（6）海外知识产权纠纷应对指导体系进一步健全，海外知识产权纠纷应对和维权援助能力显著提升；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）区域内高价值发明专利占发明专利总数的比重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保持正增长；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）知识产权保护工作投入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增长，知识产权保护工作经费在本地区财政资金拨付过程中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予以重点考虑或者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较往年适当倾斜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（三）园区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rPr>
          <w:rFonts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</w:rPr>
        <w:t>任务</w:t>
      </w:r>
    </w:p>
    <w:p>
      <w:pPr>
        <w:snapToGrid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（1）强化知识产权保护部署落实。根据省、市知识产权保护工作部署，紧紧围绕园区产业发展，贯彻落实《知识产权强国建设纲要（2021-2035年）》</w:t>
      </w:r>
      <w:r>
        <w:rPr>
          <w:rFonts w:hint="eastAsia" w:ascii="宋体" w:hAnsi="宋体" w:eastAsia="方正仿宋_GBK" w:cs="Times New Roman"/>
          <w:b w:val="0"/>
          <w:bCs w:val="0"/>
          <w:snapToGrid/>
          <w:color w:val="000000"/>
          <w:kern w:val="2"/>
          <w:sz w:val="32"/>
          <w:szCs w:val="32"/>
        </w:rPr>
        <w:t>《“十四五”国家知识产权保护和运用规划》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《关于强化知识产权保护的实施意见》，以及省、市“十四五”知识产权发展规划，将知识产权保护工作纳入园区重点工作加以部署落实，制定切实可行的工作举措。将知识产权保护工作纳入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园区管委会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的重要议事日程，定期召开专题会议研究部署知识产权保护工作。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（2） 加强知识产权管理体系建设。健全知识产权联席会议制度，充分发挥联席会议知识产权保护协调功能，定期召开会议研究知识产权保护工作。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行政管理、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执法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力量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，为知识产权工作开展提供人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员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保障。将知识产权保护工作经费纳入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同级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财政预算，加大知识产权保护工作投入力度。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提升知识产权行政保护效能。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协调推进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知识产权行政执法专项行动，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推动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知识产权行政执法能力建设，提升执法办案质量和效能，行政裁决和行政处罚办案数量和质量稳步提升。着力整治非正常专利申请、商标恶意注册、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违法违规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代理行为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协同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推进知识产权执法“两法衔接”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建立知识产权行政执法、刑事司法案件移送制度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打通知识产权行政机关执法办案发现的刑事案件向司法机关移送、司法机关刑事侦查发现的知识产权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违法案件向行政机关移送通道，有效防止以罚代刑或者违法不究。</w:t>
      </w:r>
    </w:p>
    <w:p>
      <w:pPr>
        <w:pStyle w:val="2"/>
        <w:spacing w:beforeLines="0" w:afterLines="0" w:line="570" w:lineRule="exact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 构建多元化知识产权纠纷解决机制。结合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园区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产业特点，争取省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和设区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市支持，设立知识产权维权援助分支机构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，为园区企业提供优质、便捷的知识产权维权援助服务。积极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开展知识产权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纠纷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行政调解，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推进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知识产权纠纷行政调解司法确认工作。推动人民调解组织、知识产权维权援助机构、知识产权服务机构、行业协会设立知识产权纠纷人民调解委员会，快速解决知识产权纠纷。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 xml:space="preserve"> 提升知识产权服务水平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。加强政策引导，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推进多元化知识产权服务机构集聚，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打造知识产权服务业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高质量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集聚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发展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区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建设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集成专利、商标、版权、种业等知识产权相关的行政、司法、海关、商贸、仲裁、调解等保护综合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服务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“一站式”服务中心，为知识产权权利人、社会公众办理各类知识产权事务提供“一站式”服务，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切实提升知识产权公共服务水平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。建立健全海外知识产权纠纷应对指导工作体系，开展海外知识产权纠纷应对指导工作，加强企业海外知识产权维权援助。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推动产业高质量发展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。围绕园区产业发展规划，组织开展高价值专利培育，推动获取一批重大技术攻关成果和高价值专利。组织实施专利导航工程，开展专利产出现状、资源配置现状分析，支撑园区优化资源配置，促进企业技术创新和产业健康发展。围绕园区重点发展产业，组织开展关键核心技术专利预警分析，为园区招商引资、人才引进和指导企业规避知识产权风险提供服务支撑。推动组建产业知识产权联盟，促进产业上下游企业和科研机构联合，加强资源共享和协同创新，开展联合维权，形成以知识产权为纽带的产业发展联合体。</w:t>
      </w:r>
    </w:p>
    <w:p>
      <w:pPr>
        <w:pStyle w:val="2"/>
        <w:spacing w:beforeLines="0" w:afterLines="0" w:line="570" w:lineRule="exact"/>
        <w:ind w:firstLine="640" w:firstLineChars="200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加强宣传引导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。围绕知识产权宣传周等宣传节点制定宣传方案，举办系列宣传活动，引导公众广泛参与。结合本地区工作特色，总结凝练知识产权保护示范区创建中的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先进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做法、典型经验，通过主流媒体、政务信息等形式加强宣传报道。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（8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）其他特色工作。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color w:val="000000"/>
          <w:sz w:val="32"/>
          <w:szCs w:val="32"/>
        </w:rPr>
        <w:t>2.绩效目标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知识产权执法和管理队伍进一步充实，知识产权执法和管理能力进一步提升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园区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内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知识产权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执法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案件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年均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5%以上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beforeLines="-2147483648" w:afterLines="-2147483648" w:line="240" w:lineRule="auto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非正常专利申请率低于全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平均水平，撤回率高于全省平均水平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知识产权维权援助体系进一步完善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知识产权服务集聚效应显著发挥，知识产权综合服务能力明显提升；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auto"/>
        <w:rPr>
          <w:rFonts w:hint="default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（5）海外知识产权纠纷应对指导体系进一步健全，海外知识产权纠纷应对和维权援助能力显著提升；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）区域内高价值发明专利占发明专利总数的比重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保持正增长；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）知识产权保护工作投入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保持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正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增长，知识产权保护工作经费在本地区财政资金拨付过程中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予以重点考虑或者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较往年适当倾斜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（一）符合条件的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shd w:val="clear" w:color="auto" w:fill="FFFFFF"/>
        </w:rPr>
        <w:t>设区市、县（市、区）人民政府、园区管委会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根据要求申报，签订信用承诺书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按属地原则逐级上报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。设区市直接向省知识产权局申报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县（市、区）和园区申报的，应报所在设区市人民政府出具推荐意见后，向省知识产权局申报。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省知识产权局组织评审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研究确定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立项</w:t>
      </w:r>
      <w:r>
        <w:rPr>
          <w:rFonts w:ascii="宋体" w:hAnsi="宋体" w:eastAsia="方正仿宋_GBK"/>
          <w:b w:val="0"/>
          <w:bCs w:val="0"/>
          <w:color w:val="000000"/>
          <w:sz w:val="32"/>
          <w:szCs w:val="32"/>
        </w:rPr>
        <w:t>，会同省财政厅下达项目经费。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  <w:lang w:eastAsia="zh-CN"/>
        </w:rPr>
        <w:t>原则上，设区市、县（市、区）、园区同年度、同辖区内不同时立项。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（三）项目实施期为3年，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立项后拨付一定启动资金</w:t>
      </w:r>
      <w:r>
        <w:rPr>
          <w:rFonts w:hint="eastAsia" w:ascii="宋体" w:hAnsi="宋体" w:eastAsia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项目实施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  <w:lang w:eastAsia="zh-CN"/>
        </w:rPr>
        <w:t>满一年后组织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中期评估，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  <w:lang w:eastAsia="zh-CN"/>
        </w:rPr>
        <w:t>根据评估情况拨付后续资金。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项目实施期满后进行评价和验收。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ascii="宋体" w:hAnsi="宋体" w:eastAsia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黑体_GBK"/>
          <w:b w:val="0"/>
          <w:bCs w:val="0"/>
          <w:color w:val="000000"/>
          <w:sz w:val="32"/>
          <w:szCs w:val="32"/>
        </w:rPr>
        <w:t>六、申报要求</w:t>
      </w:r>
    </w:p>
    <w:p>
      <w:pPr>
        <w:keepNext w:val="0"/>
        <w:keepLines w:val="0"/>
        <w:pageBreakBefore w:val="0"/>
        <w:kinsoku/>
        <w:topLinePunct w:val="0"/>
        <w:bidi w:val="0"/>
        <w:snapToGrid w:val="0"/>
        <w:spacing w:beforeLines="0" w:afterLines="0" w:line="570" w:lineRule="exact"/>
        <w:ind w:firstLine="640" w:firstLineChars="200"/>
        <w:textAlignment w:val="baseline"/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（一）申报材料应真实、准确、规范，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如发现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弄虚作假等不良行为的，一经查实，将取消立项资格。</w:t>
      </w:r>
    </w:p>
    <w:p>
      <w:pPr>
        <w:keepNext w:val="0"/>
        <w:keepLines w:val="0"/>
        <w:pageBreakBefore w:val="0"/>
        <w:kinsoku/>
        <w:wordWrap w:val="0"/>
        <w:topLinePunct w:val="0"/>
        <w:autoSpaceDE w:val="0"/>
        <w:autoSpaceDN w:val="0"/>
        <w:bidi w:val="0"/>
        <w:snapToGrid w:val="0"/>
        <w:spacing w:beforeLines="0" w:afterLines="0" w:line="570" w:lineRule="exact"/>
        <w:ind w:firstLine="640" w:firstLineChars="200"/>
        <w:rPr>
          <w:rFonts w:ascii="宋体" w:hAnsi="宋体" w:eastAsia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32"/>
        </w:rPr>
        <w:t>申报单位同时进行网上与书面申报，两种方式申报的内容须完全一致。</w:t>
      </w:r>
      <w:r>
        <w:rPr>
          <w:rFonts w:hint="eastAsia" w:ascii="宋体" w:hAnsi="宋体" w:eastAsia="方正仿宋_GBK"/>
          <w:b w:val="0"/>
          <w:bCs w:val="0"/>
          <w:sz w:val="32"/>
        </w:rPr>
        <w:t>网上申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报登录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“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江苏省知识产权综合服务平台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”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（https://www.jsipp.cn），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通过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“一站式管理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——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申报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与管理</w:t>
      </w:r>
      <w:r>
        <w:rPr>
          <w:rFonts w:hint="eastAsia" w:ascii="宋体" w:hAnsi="宋体" w:eastAsia="方正仿宋_GBK" w:cs="Times New Roman"/>
          <w:b w:val="0"/>
          <w:bCs w:val="0"/>
          <w:sz w:val="32"/>
        </w:rPr>
        <w:t>”</w:t>
      </w:r>
      <w:r>
        <w:rPr>
          <w:rFonts w:hint="eastAsia" w:ascii="宋体" w:hAnsi="宋体" w:eastAsia="方正仿宋_GBK" w:cs="Times New Roman"/>
          <w:b w:val="0"/>
          <w:bCs w:val="0"/>
          <w:sz w:val="32"/>
          <w:lang w:eastAsia="zh-CN"/>
        </w:rPr>
        <w:t>进行省级项目申报</w:t>
      </w:r>
      <w:r>
        <w:rPr>
          <w:rFonts w:hint="eastAsia" w:ascii="宋体" w:hAnsi="宋体" w:eastAsia="方正仿宋_GBK"/>
          <w:b w:val="0"/>
          <w:bCs w:val="0"/>
          <w:sz w:val="32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网上申报材料提交后，</w:t>
      </w: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32"/>
        </w:rPr>
        <w:t>申报单位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将系统生成的项目申报书用A4纸打印，加盖单位公章后，按项目申报书、附件材料顺序装订成册（纸质封面，平装订，一式一份），逐级审核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kinsoku/>
        <w:wordWrap w:val="0"/>
        <w:topLinePunct w:val="0"/>
        <w:autoSpaceDE w:val="0"/>
        <w:autoSpaceDN w:val="0"/>
        <w:bidi w:val="0"/>
        <w:snapToGrid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项目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申报截止日期为202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日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纸质材料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  <w:lang w:eastAsia="zh-CN"/>
        </w:rPr>
        <w:t>由设区市知识产权局汇总后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报送省知识产权局（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寄送地址：南京市建邺区汉中门大街145号省政务服务中心二楼省知识产权保护中心综合受理窗口</w:t>
      </w:r>
      <w:r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 w:val="0"/>
        <w:topLinePunct w:val="0"/>
        <w:autoSpaceDE w:val="0"/>
        <w:autoSpaceDN w:val="0"/>
        <w:bidi w:val="0"/>
        <w:snapToGrid w:val="0"/>
        <w:spacing w:beforeLines="0" w:afterLines="0" w:line="570" w:lineRule="exact"/>
        <w:ind w:firstLine="640" w:firstLineChars="200"/>
        <w:rPr>
          <w:rFonts w:hint="eastAsia" w:ascii="宋体" w:hAnsi="宋体" w:eastAsia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</w:pP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  <w:t>联系人：</w:t>
      </w: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32"/>
        </w:rPr>
        <w:t>省知识产权局</w:t>
      </w:r>
      <w:r>
        <w:rPr>
          <w:rFonts w:hint="eastAsia" w:ascii="宋体" w:hAnsi="宋体" w:eastAsia="方正仿宋_GBK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知识产权保护处</w:t>
      </w: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方正仿宋_GBK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杨</w:t>
      </w:r>
      <w:r>
        <w:rPr>
          <w:rFonts w:hint="eastAsia" w:ascii="宋体" w:hAnsi="宋体" w:eastAsia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晶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Lines="0" w:afterLines="0" w:line="570" w:lineRule="exact"/>
        <w:ind w:firstLine="640" w:firstLineChars="200"/>
        <w:rPr>
          <w:b w:val="0"/>
          <w:bCs w:val="0"/>
        </w:rPr>
      </w:pP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  <w:t xml:space="preserve">电 </w:t>
      </w:r>
      <w:r>
        <w:rPr>
          <w:rFonts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  <w:t xml:space="preserve"> </w:t>
      </w:r>
      <w:r>
        <w:rPr>
          <w:rFonts w:hint="eastAsia"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  <w:t>话：0</w:t>
      </w:r>
      <w:r>
        <w:rPr>
          <w:rFonts w:ascii="宋体" w:hAnsi="宋体" w:eastAsia="方正仿宋_GBK"/>
          <w:b w:val="0"/>
          <w:bCs w:val="0"/>
          <w:snapToGrid w:val="0"/>
          <w:color w:val="000000"/>
          <w:kern w:val="0"/>
          <w:sz w:val="32"/>
          <w:szCs w:val="20"/>
        </w:rPr>
        <w:t>25-8</w:t>
      </w:r>
      <w:r>
        <w:rPr>
          <w:rFonts w:hint="eastAsia" w:ascii="宋体" w:hAnsi="宋体" w:eastAsia="方正仿宋_GBK"/>
          <w:b w:val="0"/>
          <w:bCs w:val="0"/>
          <w:snapToGrid w:val="0"/>
          <w:color w:val="auto"/>
          <w:kern w:val="0"/>
          <w:sz w:val="32"/>
          <w:szCs w:val="20"/>
          <w:lang w:val="en-US" w:eastAsia="zh-CN"/>
        </w:rPr>
        <w:t>3279961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210" w:rightChars="100"/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120015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40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hRvIPTAAAABwEAAA8AAAAAAAAAAQAgAAAAIgAAAGRycy9kb3ducmV2&#10;LnhtbFBLAQIUABQAAAAIAIdO4kCcpSDyyAEAAJw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40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0750A"/>
    <w:multiLevelType w:val="singleLevel"/>
    <w:tmpl w:val="B0C0750A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9"/>
    <w:rsid w:val="00077580"/>
    <w:rsid w:val="000E1151"/>
    <w:rsid w:val="00125206"/>
    <w:rsid w:val="0015166F"/>
    <w:rsid w:val="001805FE"/>
    <w:rsid w:val="001F6BCB"/>
    <w:rsid w:val="00274E18"/>
    <w:rsid w:val="00292C8E"/>
    <w:rsid w:val="00294BDC"/>
    <w:rsid w:val="00296C4F"/>
    <w:rsid w:val="002D13EA"/>
    <w:rsid w:val="002E7DCD"/>
    <w:rsid w:val="0030278E"/>
    <w:rsid w:val="0031732E"/>
    <w:rsid w:val="0034618F"/>
    <w:rsid w:val="00352FD0"/>
    <w:rsid w:val="004A40A0"/>
    <w:rsid w:val="004F094A"/>
    <w:rsid w:val="00557540"/>
    <w:rsid w:val="00656CCF"/>
    <w:rsid w:val="00670893"/>
    <w:rsid w:val="006A653F"/>
    <w:rsid w:val="006C151D"/>
    <w:rsid w:val="00700F32"/>
    <w:rsid w:val="00784056"/>
    <w:rsid w:val="00832128"/>
    <w:rsid w:val="0083399B"/>
    <w:rsid w:val="008B6E10"/>
    <w:rsid w:val="008C1397"/>
    <w:rsid w:val="009E677E"/>
    <w:rsid w:val="00A11DFF"/>
    <w:rsid w:val="00B5195C"/>
    <w:rsid w:val="00BA40F5"/>
    <w:rsid w:val="00BF31F0"/>
    <w:rsid w:val="00C96C57"/>
    <w:rsid w:val="00CA7B0D"/>
    <w:rsid w:val="00CC126C"/>
    <w:rsid w:val="00CF3D1B"/>
    <w:rsid w:val="00CF7BF6"/>
    <w:rsid w:val="00E86626"/>
    <w:rsid w:val="00F340D7"/>
    <w:rsid w:val="00F97CC9"/>
    <w:rsid w:val="00FB2B79"/>
    <w:rsid w:val="01623F41"/>
    <w:rsid w:val="02932F12"/>
    <w:rsid w:val="02B70CEB"/>
    <w:rsid w:val="02D828C6"/>
    <w:rsid w:val="02EF001D"/>
    <w:rsid w:val="03081577"/>
    <w:rsid w:val="03695CEF"/>
    <w:rsid w:val="037E0F79"/>
    <w:rsid w:val="04197A16"/>
    <w:rsid w:val="043D189E"/>
    <w:rsid w:val="04AB5C2F"/>
    <w:rsid w:val="052F185A"/>
    <w:rsid w:val="0548467B"/>
    <w:rsid w:val="056E1EAF"/>
    <w:rsid w:val="05972E2E"/>
    <w:rsid w:val="05E03CF3"/>
    <w:rsid w:val="060F4FED"/>
    <w:rsid w:val="062560FC"/>
    <w:rsid w:val="064B3B23"/>
    <w:rsid w:val="066076D4"/>
    <w:rsid w:val="06843CA7"/>
    <w:rsid w:val="069651BE"/>
    <w:rsid w:val="06D31F11"/>
    <w:rsid w:val="072F0D2B"/>
    <w:rsid w:val="074F3B79"/>
    <w:rsid w:val="075D3072"/>
    <w:rsid w:val="076A4C11"/>
    <w:rsid w:val="07780E23"/>
    <w:rsid w:val="07AC4731"/>
    <w:rsid w:val="086F1B7B"/>
    <w:rsid w:val="08831CFB"/>
    <w:rsid w:val="09805841"/>
    <w:rsid w:val="098873C8"/>
    <w:rsid w:val="09F40F73"/>
    <w:rsid w:val="0A2173CF"/>
    <w:rsid w:val="0A2F2658"/>
    <w:rsid w:val="0A792CFF"/>
    <w:rsid w:val="0A8F5268"/>
    <w:rsid w:val="0AB05DDB"/>
    <w:rsid w:val="0AB51771"/>
    <w:rsid w:val="0AB70703"/>
    <w:rsid w:val="0AC715EA"/>
    <w:rsid w:val="0B3F2AEB"/>
    <w:rsid w:val="0B7AD24F"/>
    <w:rsid w:val="0B923DF0"/>
    <w:rsid w:val="0BD85806"/>
    <w:rsid w:val="0C6820ED"/>
    <w:rsid w:val="0D103BD7"/>
    <w:rsid w:val="0D150B3F"/>
    <w:rsid w:val="0DB761A0"/>
    <w:rsid w:val="0DF82F54"/>
    <w:rsid w:val="0E395547"/>
    <w:rsid w:val="0ED47EB4"/>
    <w:rsid w:val="0EE96737"/>
    <w:rsid w:val="0F732DC6"/>
    <w:rsid w:val="0F942423"/>
    <w:rsid w:val="0FB7727C"/>
    <w:rsid w:val="0FCF1242"/>
    <w:rsid w:val="0FD17712"/>
    <w:rsid w:val="0FDF31F9"/>
    <w:rsid w:val="103348F4"/>
    <w:rsid w:val="10636976"/>
    <w:rsid w:val="109337A1"/>
    <w:rsid w:val="111C2130"/>
    <w:rsid w:val="11F23466"/>
    <w:rsid w:val="12B06361"/>
    <w:rsid w:val="12DC277D"/>
    <w:rsid w:val="12EA4AAE"/>
    <w:rsid w:val="13CDFDAE"/>
    <w:rsid w:val="14093B05"/>
    <w:rsid w:val="141E0C22"/>
    <w:rsid w:val="1475600F"/>
    <w:rsid w:val="150B66A0"/>
    <w:rsid w:val="15231D5F"/>
    <w:rsid w:val="15A92E28"/>
    <w:rsid w:val="15D27333"/>
    <w:rsid w:val="15D93FD6"/>
    <w:rsid w:val="1603458B"/>
    <w:rsid w:val="16451D28"/>
    <w:rsid w:val="166F0954"/>
    <w:rsid w:val="170C5F04"/>
    <w:rsid w:val="178A0832"/>
    <w:rsid w:val="17CF34CA"/>
    <w:rsid w:val="17D2656E"/>
    <w:rsid w:val="18207DB4"/>
    <w:rsid w:val="18792CB6"/>
    <w:rsid w:val="189F0F57"/>
    <w:rsid w:val="18AE6977"/>
    <w:rsid w:val="18C76F54"/>
    <w:rsid w:val="19451747"/>
    <w:rsid w:val="195300E9"/>
    <w:rsid w:val="197818E6"/>
    <w:rsid w:val="19C875BC"/>
    <w:rsid w:val="19EA4EFF"/>
    <w:rsid w:val="1A84013C"/>
    <w:rsid w:val="1A9635AE"/>
    <w:rsid w:val="1ACE0F6D"/>
    <w:rsid w:val="1AD208E6"/>
    <w:rsid w:val="1B065B3A"/>
    <w:rsid w:val="1B481435"/>
    <w:rsid w:val="1B67656A"/>
    <w:rsid w:val="1B697DAE"/>
    <w:rsid w:val="1B77745A"/>
    <w:rsid w:val="1BC839A2"/>
    <w:rsid w:val="1BF56CF5"/>
    <w:rsid w:val="1C450879"/>
    <w:rsid w:val="1C5333BB"/>
    <w:rsid w:val="1CB71206"/>
    <w:rsid w:val="1CC36F4E"/>
    <w:rsid w:val="1D2E00F9"/>
    <w:rsid w:val="1D32041D"/>
    <w:rsid w:val="1D403926"/>
    <w:rsid w:val="1D516125"/>
    <w:rsid w:val="1D57692E"/>
    <w:rsid w:val="1DFFAD4B"/>
    <w:rsid w:val="1E5E0502"/>
    <w:rsid w:val="1E7E1C98"/>
    <w:rsid w:val="1E8903AA"/>
    <w:rsid w:val="1EBD5EBD"/>
    <w:rsid w:val="1EC12CA0"/>
    <w:rsid w:val="1EFA1D82"/>
    <w:rsid w:val="1F0F003E"/>
    <w:rsid w:val="1F232C99"/>
    <w:rsid w:val="1FAA4428"/>
    <w:rsid w:val="1FBFC5C3"/>
    <w:rsid w:val="20117450"/>
    <w:rsid w:val="20272EF8"/>
    <w:rsid w:val="20A125FC"/>
    <w:rsid w:val="216E4087"/>
    <w:rsid w:val="2178224A"/>
    <w:rsid w:val="21C2766E"/>
    <w:rsid w:val="2231049E"/>
    <w:rsid w:val="2233204E"/>
    <w:rsid w:val="22E36AE8"/>
    <w:rsid w:val="2359573E"/>
    <w:rsid w:val="23794B25"/>
    <w:rsid w:val="23973D79"/>
    <w:rsid w:val="23A3430B"/>
    <w:rsid w:val="23C91EAF"/>
    <w:rsid w:val="23DC3CDF"/>
    <w:rsid w:val="245B12F5"/>
    <w:rsid w:val="24B107C7"/>
    <w:rsid w:val="24D24E09"/>
    <w:rsid w:val="2583585B"/>
    <w:rsid w:val="25FB3760"/>
    <w:rsid w:val="262C090B"/>
    <w:rsid w:val="268262BF"/>
    <w:rsid w:val="26E5404B"/>
    <w:rsid w:val="272E41A9"/>
    <w:rsid w:val="278A7951"/>
    <w:rsid w:val="27C151C0"/>
    <w:rsid w:val="280F71F6"/>
    <w:rsid w:val="28610E99"/>
    <w:rsid w:val="28BD15B9"/>
    <w:rsid w:val="29724FEA"/>
    <w:rsid w:val="2985641D"/>
    <w:rsid w:val="29CF60D3"/>
    <w:rsid w:val="29EE2A64"/>
    <w:rsid w:val="29F35851"/>
    <w:rsid w:val="29FF3D02"/>
    <w:rsid w:val="2A8852EF"/>
    <w:rsid w:val="2AB879BE"/>
    <w:rsid w:val="2ABA64BC"/>
    <w:rsid w:val="2ADE09A2"/>
    <w:rsid w:val="2AF02F37"/>
    <w:rsid w:val="2B0372C2"/>
    <w:rsid w:val="2B0D3BCC"/>
    <w:rsid w:val="2BFF2B21"/>
    <w:rsid w:val="2C1155EE"/>
    <w:rsid w:val="2C381A7F"/>
    <w:rsid w:val="2C7807B6"/>
    <w:rsid w:val="2D015680"/>
    <w:rsid w:val="2D6C58C5"/>
    <w:rsid w:val="2D9B58FD"/>
    <w:rsid w:val="2DC2197A"/>
    <w:rsid w:val="2DF028C4"/>
    <w:rsid w:val="2E366F17"/>
    <w:rsid w:val="2E3C5F41"/>
    <w:rsid w:val="2E905347"/>
    <w:rsid w:val="2EB373A0"/>
    <w:rsid w:val="2F026632"/>
    <w:rsid w:val="2F244989"/>
    <w:rsid w:val="2F626E62"/>
    <w:rsid w:val="2FC15D19"/>
    <w:rsid w:val="30ED7411"/>
    <w:rsid w:val="30F74779"/>
    <w:rsid w:val="311A91F0"/>
    <w:rsid w:val="322C2620"/>
    <w:rsid w:val="323A00EB"/>
    <w:rsid w:val="323C4E15"/>
    <w:rsid w:val="3299671E"/>
    <w:rsid w:val="32B633C6"/>
    <w:rsid w:val="333648AB"/>
    <w:rsid w:val="33636AFD"/>
    <w:rsid w:val="33E60629"/>
    <w:rsid w:val="345B2292"/>
    <w:rsid w:val="34A53728"/>
    <w:rsid w:val="34D267F5"/>
    <w:rsid w:val="34EF379B"/>
    <w:rsid w:val="34FC12AA"/>
    <w:rsid w:val="35427CF4"/>
    <w:rsid w:val="35907399"/>
    <w:rsid w:val="35FC966E"/>
    <w:rsid w:val="366540DF"/>
    <w:rsid w:val="371E40CC"/>
    <w:rsid w:val="372F6FD8"/>
    <w:rsid w:val="377202FD"/>
    <w:rsid w:val="37852CD7"/>
    <w:rsid w:val="387B3B64"/>
    <w:rsid w:val="38817C62"/>
    <w:rsid w:val="38AA1C29"/>
    <w:rsid w:val="39133FEC"/>
    <w:rsid w:val="3930484F"/>
    <w:rsid w:val="39C15D98"/>
    <w:rsid w:val="3A983159"/>
    <w:rsid w:val="3AA236AE"/>
    <w:rsid w:val="3AD320F6"/>
    <w:rsid w:val="3B0D14CB"/>
    <w:rsid w:val="3B646A89"/>
    <w:rsid w:val="3B7B3F09"/>
    <w:rsid w:val="3B7F4482"/>
    <w:rsid w:val="3BCC5F7F"/>
    <w:rsid w:val="3BDB64AA"/>
    <w:rsid w:val="3BEA3CD0"/>
    <w:rsid w:val="3BF78306"/>
    <w:rsid w:val="3C1A1A9F"/>
    <w:rsid w:val="3C7B2229"/>
    <w:rsid w:val="3CAB55C8"/>
    <w:rsid w:val="3CCD0B54"/>
    <w:rsid w:val="3CD91764"/>
    <w:rsid w:val="3D350219"/>
    <w:rsid w:val="3D484B19"/>
    <w:rsid w:val="3D514C38"/>
    <w:rsid w:val="3D7FCE01"/>
    <w:rsid w:val="3DB87117"/>
    <w:rsid w:val="3DD16D70"/>
    <w:rsid w:val="3DDA71CD"/>
    <w:rsid w:val="3E6C2268"/>
    <w:rsid w:val="3ECC0D8F"/>
    <w:rsid w:val="3EE83BA6"/>
    <w:rsid w:val="3F024A75"/>
    <w:rsid w:val="3F4032BA"/>
    <w:rsid w:val="3FCD67BD"/>
    <w:rsid w:val="3FFB6206"/>
    <w:rsid w:val="3FFE7F76"/>
    <w:rsid w:val="41A17893"/>
    <w:rsid w:val="41B97FB7"/>
    <w:rsid w:val="41D64887"/>
    <w:rsid w:val="420B1672"/>
    <w:rsid w:val="42BA2795"/>
    <w:rsid w:val="42D03A39"/>
    <w:rsid w:val="43735DF8"/>
    <w:rsid w:val="43D23316"/>
    <w:rsid w:val="43D66A1E"/>
    <w:rsid w:val="4421180D"/>
    <w:rsid w:val="449B6EC4"/>
    <w:rsid w:val="44BE506E"/>
    <w:rsid w:val="44FE6F2A"/>
    <w:rsid w:val="4523201A"/>
    <w:rsid w:val="45424238"/>
    <w:rsid w:val="456F515C"/>
    <w:rsid w:val="459D5D39"/>
    <w:rsid w:val="45B32366"/>
    <w:rsid w:val="45C4752C"/>
    <w:rsid w:val="461835A1"/>
    <w:rsid w:val="46FD0B9A"/>
    <w:rsid w:val="470165E3"/>
    <w:rsid w:val="47311D3C"/>
    <w:rsid w:val="47355D13"/>
    <w:rsid w:val="474155C4"/>
    <w:rsid w:val="47D975FC"/>
    <w:rsid w:val="47F45C17"/>
    <w:rsid w:val="47F66A8F"/>
    <w:rsid w:val="487704B5"/>
    <w:rsid w:val="48C56AFF"/>
    <w:rsid w:val="48E27587"/>
    <w:rsid w:val="48F70F7D"/>
    <w:rsid w:val="49027589"/>
    <w:rsid w:val="496B10B3"/>
    <w:rsid w:val="49B919D8"/>
    <w:rsid w:val="49FD45D0"/>
    <w:rsid w:val="4A3063D5"/>
    <w:rsid w:val="4A315B13"/>
    <w:rsid w:val="4A4E0479"/>
    <w:rsid w:val="4A7150D9"/>
    <w:rsid w:val="4B4F2C3A"/>
    <w:rsid w:val="4B7FB648"/>
    <w:rsid w:val="4BBFD0BD"/>
    <w:rsid w:val="4BDB4739"/>
    <w:rsid w:val="4CC73E01"/>
    <w:rsid w:val="4D285E72"/>
    <w:rsid w:val="4D41248A"/>
    <w:rsid w:val="4D730E63"/>
    <w:rsid w:val="4D7B025A"/>
    <w:rsid w:val="4DBD3DD7"/>
    <w:rsid w:val="4DBF9A8C"/>
    <w:rsid w:val="4DD27D4B"/>
    <w:rsid w:val="4E0E4068"/>
    <w:rsid w:val="4EAF2E10"/>
    <w:rsid w:val="4F006F0A"/>
    <w:rsid w:val="4F096B3D"/>
    <w:rsid w:val="4F443E51"/>
    <w:rsid w:val="4F5335BF"/>
    <w:rsid w:val="4FD77FB6"/>
    <w:rsid w:val="50CE682B"/>
    <w:rsid w:val="50FB7905"/>
    <w:rsid w:val="514F4AB0"/>
    <w:rsid w:val="51D47717"/>
    <w:rsid w:val="51DF7316"/>
    <w:rsid w:val="520F494D"/>
    <w:rsid w:val="522E467E"/>
    <w:rsid w:val="524B52A4"/>
    <w:rsid w:val="526718D0"/>
    <w:rsid w:val="52743D93"/>
    <w:rsid w:val="52756177"/>
    <w:rsid w:val="52993941"/>
    <w:rsid w:val="533E55D5"/>
    <w:rsid w:val="53CE3B79"/>
    <w:rsid w:val="53D50147"/>
    <w:rsid w:val="53E01A26"/>
    <w:rsid w:val="543360B8"/>
    <w:rsid w:val="544A421C"/>
    <w:rsid w:val="54535836"/>
    <w:rsid w:val="55470EE1"/>
    <w:rsid w:val="557377F0"/>
    <w:rsid w:val="55C666D2"/>
    <w:rsid w:val="55CC30D1"/>
    <w:rsid w:val="55F62ED4"/>
    <w:rsid w:val="560E3BD2"/>
    <w:rsid w:val="561F0BF0"/>
    <w:rsid w:val="563F19A9"/>
    <w:rsid w:val="56544114"/>
    <w:rsid w:val="5665FD09"/>
    <w:rsid w:val="56660B64"/>
    <w:rsid w:val="56A262BB"/>
    <w:rsid w:val="56B40263"/>
    <w:rsid w:val="56BF67A6"/>
    <w:rsid w:val="57A92996"/>
    <w:rsid w:val="57AE1C69"/>
    <w:rsid w:val="581E4228"/>
    <w:rsid w:val="589D5122"/>
    <w:rsid w:val="59AE0D1C"/>
    <w:rsid w:val="59DF28B1"/>
    <w:rsid w:val="5A015A70"/>
    <w:rsid w:val="5A66009A"/>
    <w:rsid w:val="5B2E1D57"/>
    <w:rsid w:val="5B552838"/>
    <w:rsid w:val="5B651FA7"/>
    <w:rsid w:val="5B9D0AAB"/>
    <w:rsid w:val="5BC96613"/>
    <w:rsid w:val="5BDC4298"/>
    <w:rsid w:val="5CAE4A21"/>
    <w:rsid w:val="5CBA09E9"/>
    <w:rsid w:val="5D085BC4"/>
    <w:rsid w:val="5D4A553D"/>
    <w:rsid w:val="5D82730A"/>
    <w:rsid w:val="5D9B530F"/>
    <w:rsid w:val="5DAC0107"/>
    <w:rsid w:val="5DBF5997"/>
    <w:rsid w:val="5E494B95"/>
    <w:rsid w:val="5E941018"/>
    <w:rsid w:val="5EA3291A"/>
    <w:rsid w:val="5EFE1815"/>
    <w:rsid w:val="5F3EA7E3"/>
    <w:rsid w:val="5F4714A8"/>
    <w:rsid w:val="5F77660F"/>
    <w:rsid w:val="5F9556A8"/>
    <w:rsid w:val="5FB78734"/>
    <w:rsid w:val="5FDD31BF"/>
    <w:rsid w:val="60526185"/>
    <w:rsid w:val="608E1ACD"/>
    <w:rsid w:val="6090481A"/>
    <w:rsid w:val="610C5EB5"/>
    <w:rsid w:val="61253206"/>
    <w:rsid w:val="616832AC"/>
    <w:rsid w:val="617E6BDA"/>
    <w:rsid w:val="618D5D3B"/>
    <w:rsid w:val="61F02E9D"/>
    <w:rsid w:val="620216F4"/>
    <w:rsid w:val="62EB2896"/>
    <w:rsid w:val="631170E0"/>
    <w:rsid w:val="6336095C"/>
    <w:rsid w:val="635F0496"/>
    <w:rsid w:val="64445BA2"/>
    <w:rsid w:val="646517E8"/>
    <w:rsid w:val="64A72EAF"/>
    <w:rsid w:val="64B30E09"/>
    <w:rsid w:val="65BF161D"/>
    <w:rsid w:val="65E11811"/>
    <w:rsid w:val="65EA4E03"/>
    <w:rsid w:val="66407539"/>
    <w:rsid w:val="66694B7E"/>
    <w:rsid w:val="66C55E9A"/>
    <w:rsid w:val="67091E70"/>
    <w:rsid w:val="679C0223"/>
    <w:rsid w:val="67C225D4"/>
    <w:rsid w:val="68452810"/>
    <w:rsid w:val="68C97132"/>
    <w:rsid w:val="68D31B64"/>
    <w:rsid w:val="68D82B03"/>
    <w:rsid w:val="69117EA4"/>
    <w:rsid w:val="69652FF1"/>
    <w:rsid w:val="698F0030"/>
    <w:rsid w:val="69D1706F"/>
    <w:rsid w:val="6A9A33F7"/>
    <w:rsid w:val="6A9B011C"/>
    <w:rsid w:val="6AA44A6C"/>
    <w:rsid w:val="6B023CDB"/>
    <w:rsid w:val="6B04461C"/>
    <w:rsid w:val="6B5179B7"/>
    <w:rsid w:val="6B5460CA"/>
    <w:rsid w:val="6B6F0BAE"/>
    <w:rsid w:val="6B8C5858"/>
    <w:rsid w:val="6BDA38DE"/>
    <w:rsid w:val="6C170E2E"/>
    <w:rsid w:val="6C375DC5"/>
    <w:rsid w:val="6C825692"/>
    <w:rsid w:val="6CEB04EC"/>
    <w:rsid w:val="6D493CB0"/>
    <w:rsid w:val="6DD74019"/>
    <w:rsid w:val="6E753827"/>
    <w:rsid w:val="6EED7E6F"/>
    <w:rsid w:val="6FB27C07"/>
    <w:rsid w:val="6FBF929A"/>
    <w:rsid w:val="6FCA244C"/>
    <w:rsid w:val="6FFF848C"/>
    <w:rsid w:val="70303898"/>
    <w:rsid w:val="70847F00"/>
    <w:rsid w:val="70EA4E51"/>
    <w:rsid w:val="710A443F"/>
    <w:rsid w:val="7131248F"/>
    <w:rsid w:val="713F7345"/>
    <w:rsid w:val="717C2435"/>
    <w:rsid w:val="71B841F3"/>
    <w:rsid w:val="71D74796"/>
    <w:rsid w:val="71F80961"/>
    <w:rsid w:val="71F97C4E"/>
    <w:rsid w:val="723E2560"/>
    <w:rsid w:val="7248534D"/>
    <w:rsid w:val="7272BC20"/>
    <w:rsid w:val="72B041A2"/>
    <w:rsid w:val="72FFA137"/>
    <w:rsid w:val="73A6235F"/>
    <w:rsid w:val="743742AD"/>
    <w:rsid w:val="744B6FB7"/>
    <w:rsid w:val="746615C5"/>
    <w:rsid w:val="74CF46AB"/>
    <w:rsid w:val="75674884"/>
    <w:rsid w:val="757E5FD3"/>
    <w:rsid w:val="75BC3991"/>
    <w:rsid w:val="763F627E"/>
    <w:rsid w:val="764521B0"/>
    <w:rsid w:val="76F4051F"/>
    <w:rsid w:val="77513300"/>
    <w:rsid w:val="785262ED"/>
    <w:rsid w:val="78F80979"/>
    <w:rsid w:val="79614373"/>
    <w:rsid w:val="796F00F0"/>
    <w:rsid w:val="79764476"/>
    <w:rsid w:val="79A101A1"/>
    <w:rsid w:val="7A262B9F"/>
    <w:rsid w:val="7A75157D"/>
    <w:rsid w:val="7A7C3A0A"/>
    <w:rsid w:val="7A7FE365"/>
    <w:rsid w:val="7A997CD1"/>
    <w:rsid w:val="7AB33D0D"/>
    <w:rsid w:val="7B2E5200"/>
    <w:rsid w:val="7B975974"/>
    <w:rsid w:val="7BB7025C"/>
    <w:rsid w:val="7BEE1A52"/>
    <w:rsid w:val="7BEF8F99"/>
    <w:rsid w:val="7BFF15FA"/>
    <w:rsid w:val="7C203544"/>
    <w:rsid w:val="7C48171E"/>
    <w:rsid w:val="7C5F4B6D"/>
    <w:rsid w:val="7C7A7EBA"/>
    <w:rsid w:val="7CBF8939"/>
    <w:rsid w:val="7CF37205"/>
    <w:rsid w:val="7CFE3113"/>
    <w:rsid w:val="7DB24093"/>
    <w:rsid w:val="7DB39DA3"/>
    <w:rsid w:val="7DBDA398"/>
    <w:rsid w:val="7DFF30D0"/>
    <w:rsid w:val="7E084CA7"/>
    <w:rsid w:val="7E2C087D"/>
    <w:rsid w:val="7E327285"/>
    <w:rsid w:val="7E77FBAC"/>
    <w:rsid w:val="7EDB5BEE"/>
    <w:rsid w:val="7EDF444F"/>
    <w:rsid w:val="7EFD4BC1"/>
    <w:rsid w:val="7F2C8C8E"/>
    <w:rsid w:val="7F343EB7"/>
    <w:rsid w:val="7F4620FB"/>
    <w:rsid w:val="7FEB1C37"/>
    <w:rsid w:val="8AB611C6"/>
    <w:rsid w:val="A5B7AB9F"/>
    <w:rsid w:val="BA7B23C6"/>
    <w:rsid w:val="BBDF0485"/>
    <w:rsid w:val="BDB32AB0"/>
    <w:rsid w:val="BF1E5F71"/>
    <w:rsid w:val="BF5AAB39"/>
    <w:rsid w:val="BFD78559"/>
    <w:rsid w:val="BFEFB37E"/>
    <w:rsid w:val="BFFC5655"/>
    <w:rsid w:val="CDBB1AA3"/>
    <w:rsid w:val="CF73AAE8"/>
    <w:rsid w:val="DFDC8DFD"/>
    <w:rsid w:val="DFEFEA5E"/>
    <w:rsid w:val="E1BFC675"/>
    <w:rsid w:val="EDFF9857"/>
    <w:rsid w:val="EF2F13B1"/>
    <w:rsid w:val="EF7F05E8"/>
    <w:rsid w:val="EFBF7176"/>
    <w:rsid w:val="EFD7FC07"/>
    <w:rsid w:val="F0FF52DA"/>
    <w:rsid w:val="F37F1CD5"/>
    <w:rsid w:val="F58F4169"/>
    <w:rsid w:val="F5EC5DFB"/>
    <w:rsid w:val="F5FD0536"/>
    <w:rsid w:val="F63D78B7"/>
    <w:rsid w:val="F77DB186"/>
    <w:rsid w:val="F7E7FE0F"/>
    <w:rsid w:val="F7FA4D34"/>
    <w:rsid w:val="F7FF7337"/>
    <w:rsid w:val="FBF32459"/>
    <w:rsid w:val="FCFAB704"/>
    <w:rsid w:val="FD3BF20D"/>
    <w:rsid w:val="FD3E228D"/>
    <w:rsid w:val="FD5E64A4"/>
    <w:rsid w:val="FD8B53E4"/>
    <w:rsid w:val="FDF93928"/>
    <w:rsid w:val="FDFF6D88"/>
    <w:rsid w:val="FE7DEEDE"/>
    <w:rsid w:val="FE94ED11"/>
    <w:rsid w:val="FEF12C72"/>
    <w:rsid w:val="FF76DAC5"/>
    <w:rsid w:val="FFCD55F0"/>
    <w:rsid w:val="FFDA5554"/>
    <w:rsid w:val="FFECB64F"/>
    <w:rsid w:val="FFF34E1D"/>
    <w:rsid w:val="FFFFB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styleId="4">
    <w:name w:val="annotation text"/>
    <w:basedOn w:val="1"/>
    <w:qFormat/>
    <w:uiPriority w:val="99"/>
    <w:pPr>
      <w:jc w:val="left"/>
    </w:pPr>
    <w:rPr>
      <w:rFonts w:cs="黑体"/>
      <w:kern w:val="0"/>
      <w:sz w:val="24"/>
      <w:szCs w:val="20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37</Pages>
  <Words>2645</Words>
  <Characters>15079</Characters>
  <Lines>125</Lines>
  <Paragraphs>35</Paragraphs>
  <TotalTime>2</TotalTime>
  <ScaleCrop>false</ScaleCrop>
  <LinksUpToDate>false</LinksUpToDate>
  <CharactersWithSpaces>17689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2020-03-19T09:14:00Z</dcterms:created>
  <dc:creator>Wynd</dc:creator>
  <cp:lastModifiedBy>1</cp:lastModifiedBy>
  <cp:lastPrinted>2023-12-15T05:42:00Z</cp:lastPrinted>
  <dcterms:modified xsi:type="dcterms:W3CDTF">2023-12-28T01:38:39Z</dcterms:modified>
  <dc:title>关于组织申报2023年度省知识产权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887041105D984E5988DF967A600C81FE</vt:lpwstr>
  </property>
</Properties>
</file>