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B3" w:rsidRDefault="007A38B3" w:rsidP="007A38B3">
      <w:pPr>
        <w:spacing w:line="590" w:lineRule="exact"/>
        <w:ind w:firstLine="4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</w:p>
    <w:p w:rsidR="007A38B3" w:rsidRDefault="007A38B3" w:rsidP="007A38B3">
      <w:pPr>
        <w:widowControl/>
        <w:spacing w:line="590" w:lineRule="exact"/>
        <w:jc w:val="center"/>
        <w:rPr>
          <w:rFonts w:ascii="方正小标宋_GBK" w:eastAsia="方正小标宋_GBK" w:hAnsi="Times New Roman" w:cs="Times New Roman"/>
          <w:color w:val="070707"/>
          <w:spacing w:val="-8"/>
          <w:kern w:val="0"/>
          <w:sz w:val="44"/>
          <w:szCs w:val="44"/>
        </w:rPr>
      </w:pPr>
      <w:r w:rsidRPr="008D5AA0">
        <w:rPr>
          <w:rFonts w:ascii="方正小标宋_GBK" w:eastAsia="方正小标宋_GBK" w:hAnsi="Times New Roman" w:cs="Times New Roman" w:hint="eastAsia"/>
          <w:color w:val="070707"/>
          <w:spacing w:val="-8"/>
          <w:kern w:val="0"/>
          <w:sz w:val="44"/>
          <w:szCs w:val="44"/>
        </w:rPr>
        <w:t>202</w:t>
      </w:r>
      <w:r>
        <w:rPr>
          <w:rFonts w:ascii="方正小标宋_GBK" w:eastAsia="方正小标宋_GBK" w:hAnsi="Times New Roman" w:cs="Times New Roman"/>
          <w:color w:val="070707"/>
          <w:spacing w:val="-8"/>
          <w:kern w:val="0"/>
          <w:sz w:val="44"/>
          <w:szCs w:val="44"/>
        </w:rPr>
        <w:t>3</w:t>
      </w:r>
      <w:r w:rsidRPr="008D5AA0">
        <w:rPr>
          <w:rFonts w:ascii="方正小标宋_GBK" w:eastAsia="方正小标宋_GBK" w:hAnsi="Times New Roman" w:cs="Times New Roman" w:hint="eastAsia"/>
          <w:color w:val="070707"/>
          <w:spacing w:val="-8"/>
          <w:kern w:val="0"/>
          <w:sz w:val="44"/>
          <w:szCs w:val="44"/>
        </w:rPr>
        <w:t>年江苏省大数据产业发展试点示范</w:t>
      </w:r>
    </w:p>
    <w:p w:rsidR="007A38B3" w:rsidRDefault="007A38B3" w:rsidP="007A38B3">
      <w:pPr>
        <w:widowControl/>
        <w:spacing w:line="590" w:lineRule="exact"/>
        <w:jc w:val="center"/>
        <w:rPr>
          <w:rFonts w:ascii="方正小标宋_GBK" w:eastAsia="方正小标宋_GBK" w:hAnsi="Times New Roman" w:cs="Times New Roman"/>
          <w:color w:val="070707"/>
          <w:spacing w:val="-8"/>
          <w:kern w:val="0"/>
          <w:sz w:val="44"/>
          <w:szCs w:val="44"/>
        </w:rPr>
      </w:pPr>
      <w:bookmarkStart w:id="0" w:name="_GoBack"/>
      <w:bookmarkEnd w:id="0"/>
      <w:r w:rsidRPr="008D5AA0">
        <w:rPr>
          <w:rFonts w:ascii="方正小标宋_GBK" w:eastAsia="方正小标宋_GBK" w:hAnsi="Times New Roman" w:cs="Times New Roman" w:hint="eastAsia"/>
          <w:color w:val="070707"/>
          <w:spacing w:val="-8"/>
          <w:kern w:val="0"/>
          <w:sz w:val="44"/>
          <w:szCs w:val="44"/>
        </w:rPr>
        <w:t>项目名单</w:t>
      </w:r>
    </w:p>
    <w:p w:rsidR="007A38B3" w:rsidRPr="008D5AA0" w:rsidRDefault="007A38B3" w:rsidP="007A38B3">
      <w:pPr>
        <w:widowControl/>
        <w:spacing w:line="590" w:lineRule="exact"/>
        <w:jc w:val="center"/>
        <w:rPr>
          <w:rFonts w:ascii="方正小标宋_GBK" w:eastAsia="方正小标宋_GBK" w:hAnsi="Times New Roman" w:cs="Times New Roman"/>
          <w:color w:val="070707"/>
          <w:spacing w:val="-8"/>
          <w:kern w:val="0"/>
          <w:sz w:val="44"/>
          <w:szCs w:val="44"/>
        </w:rPr>
      </w:pPr>
    </w:p>
    <w:tbl>
      <w:tblPr>
        <w:tblStyle w:val="20"/>
        <w:tblW w:w="8931" w:type="dxa"/>
        <w:tblInd w:w="-431" w:type="dxa"/>
        <w:tblLook w:val="04A0" w:firstRow="1" w:lastRow="0" w:firstColumn="1" w:lastColumn="0" w:noHBand="0" w:noVBand="1"/>
      </w:tblPr>
      <w:tblGrid>
        <w:gridCol w:w="852"/>
        <w:gridCol w:w="3827"/>
        <w:gridCol w:w="3402"/>
        <w:gridCol w:w="850"/>
      </w:tblGrid>
      <w:tr w:rsidR="007A38B3" w:rsidRPr="008D5AA0" w:rsidTr="007A38B3">
        <w:trPr>
          <w:trHeight w:hRule="exact" w:val="624"/>
        </w:trPr>
        <w:tc>
          <w:tcPr>
            <w:tcW w:w="852" w:type="dxa"/>
            <w:vAlign w:val="center"/>
            <w:hideMark/>
          </w:tcPr>
          <w:p w:rsidR="007A38B3" w:rsidRPr="008D5AA0" w:rsidRDefault="007A38B3" w:rsidP="00835DA8">
            <w:pPr>
              <w:widowControl/>
              <w:jc w:val="center"/>
              <w:rPr>
                <w:rFonts w:ascii="方正黑体_GBK" w:eastAsia="方正黑体_GBK" w:hAnsi="方正黑体_GBK" w:cs="宋体"/>
                <w:bCs/>
                <w:kern w:val="0"/>
                <w:sz w:val="28"/>
                <w:szCs w:val="28"/>
              </w:rPr>
            </w:pPr>
            <w:r w:rsidRPr="008D5AA0">
              <w:rPr>
                <w:rFonts w:ascii="方正黑体_GBK" w:eastAsia="方正黑体_GBK" w:hAnsi="方正黑体_GBK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  <w:hideMark/>
          </w:tcPr>
          <w:p w:rsidR="007A38B3" w:rsidRPr="008D5AA0" w:rsidRDefault="007A38B3" w:rsidP="00835DA8">
            <w:pPr>
              <w:widowControl/>
              <w:jc w:val="center"/>
              <w:rPr>
                <w:rFonts w:ascii="方正黑体_GBK" w:eastAsia="方正黑体_GBK" w:hAnsi="方正黑体_GBK" w:cs="宋体"/>
                <w:bCs/>
                <w:kern w:val="0"/>
                <w:sz w:val="28"/>
                <w:szCs w:val="28"/>
              </w:rPr>
            </w:pPr>
            <w:r w:rsidRPr="008D5AA0">
              <w:rPr>
                <w:rFonts w:ascii="方正黑体_GBK" w:eastAsia="方正黑体_GBK" w:hAnsi="方正黑体_GBK" w:cs="宋体" w:hint="eastAsia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402" w:type="dxa"/>
            <w:vAlign w:val="center"/>
            <w:hideMark/>
          </w:tcPr>
          <w:p w:rsidR="007A38B3" w:rsidRPr="008D5AA0" w:rsidRDefault="007A38B3" w:rsidP="00835DA8">
            <w:pPr>
              <w:widowControl/>
              <w:jc w:val="center"/>
              <w:rPr>
                <w:rFonts w:ascii="方正黑体_GBK" w:eastAsia="方正黑体_GBK" w:hAnsi="方正黑体_GBK" w:cs="宋体"/>
                <w:bCs/>
                <w:kern w:val="0"/>
                <w:sz w:val="28"/>
                <w:szCs w:val="28"/>
              </w:rPr>
            </w:pPr>
            <w:r w:rsidRPr="008D5AA0">
              <w:rPr>
                <w:rFonts w:ascii="方正黑体_GBK" w:eastAsia="方正黑体_GBK" w:hAnsi="方正黑体_GBK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7A38B3" w:rsidRPr="008D5AA0" w:rsidRDefault="007A38B3" w:rsidP="00835DA8">
            <w:pPr>
              <w:widowControl/>
              <w:jc w:val="center"/>
              <w:rPr>
                <w:rFonts w:ascii="方正黑体_GBK" w:eastAsia="方正黑体_GBK" w:hAnsi="方正黑体_GBK" w:cs="宋体"/>
                <w:bCs/>
                <w:kern w:val="0"/>
                <w:sz w:val="28"/>
                <w:szCs w:val="28"/>
              </w:rPr>
            </w:pPr>
            <w:r w:rsidRPr="008D5AA0">
              <w:rPr>
                <w:rFonts w:ascii="方正黑体_GBK" w:eastAsia="方正黑体_GBK" w:hAnsi="方正黑体_GBK" w:cs="宋体" w:hint="eastAsia"/>
                <w:bCs/>
                <w:kern w:val="0"/>
                <w:sz w:val="28"/>
                <w:szCs w:val="28"/>
              </w:rPr>
              <w:t>地区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苏州数据资产运营有限公司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数据要素价值共创平台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国泰新点软件股份有限公司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新点政务智能办平台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浪潮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卓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数大数据产业发展有限公司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浪潮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数智金融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南京烽火星空通信发展有限公司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通感算一体化城市治理管控平台研发及应用示范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企查查科技股份有限公司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一站式企业信用信息大数据服务平台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苏州真趣信息科技有限公司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基于时空大数据的安全生产智能预警管控平台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江苏电力信息技术有限公司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江苏省能源大数据中心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南京钢铁股份有限公司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基于高质量工业大数据的钢铁企业智慧运营系统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苏州慧工云信息科技有限公司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基于人工智能算法的工业大数据制造运营平台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数字苏州建设有限公司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以数字技术创新城市驾驶舱运行管理服务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亿丰数字</w:t>
            </w:r>
            <w:proofErr w:type="gramEnd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科技集团有限公司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proofErr w:type="spellStart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DTCloud</w:t>
            </w:r>
            <w:proofErr w:type="spellEnd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工业互联网平台的大数据应用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同程网络科技股份有限公司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同程旅行大数据一站式出行平台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江苏省联合征信有限公司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面向企业征信服务的数据管理能力提升项目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江苏达科信息科技有限公司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石化行业数据治理解决方案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波司登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羽绒服装有限公司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数字赋能品牌服装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产销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全价值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链协同项目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南京江北新区生物医药公共服务</w:t>
            </w:r>
          </w:p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平台有限公司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多模态科学数据转化公共服务平台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南京医科大学第一附属医院</w:t>
            </w:r>
          </w:p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江苏省人民医院</w:t>
            </w: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DCMM</w:t>
            </w: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的医疗数据管理综合能力提升工程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焦点科技股份有限公司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面向跨境的流量生态大数据平台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江苏风云科技服务有限公司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基于湖仓一体</w:t>
            </w:r>
            <w:proofErr w:type="gramEnd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架构用数据赋能业务的城市经济大脑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东集技术股份有限公司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面向用户的全流程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IOT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设备数字化管理与应用平台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常州健康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医疗大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数据运营有限公司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江苏省医学影像数字化公共服务平台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南京擎天科技有限公司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工业园区风险管控多维大数据应用平台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杰锐思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JRS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智能制造工业互联网平台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扬州万方科技股份有限公司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基于数据网格架构的数据管理平台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南京领行科技股份有限公司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基于车联网架构的大数据智能出行平台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安佑生物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科技集团股份有限公司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安佑智慧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养殖产业链协同管理服务平台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江苏网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进科技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数字城市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公共智慧底座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数据湖平台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产业化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电智联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科技（江苏）有限公司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工业元数产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供协同平台研发及其产业化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盐城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江苏省苏力环境科技有限责任公司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江苏省生态环境智慧监测创新应用集成项目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江苏实达迪美数据处理有限公司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保险业大数据处理服务应用示范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镇江软通智慧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镇江市大数据共享交换平台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华科技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华工业云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WISE-BI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精益数字化决策中心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江苏天之捷信息技术服务有限公司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天马运动产业互联网大数据平台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江苏京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大数据管理有限公司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宿迁新型智慧城市建设项目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汉信息技术有限公司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基于机器视觉的输配电智慧安全监测系统研发及产业化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南京南自华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盾数字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技术有限公司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赋能工业数字化转型的一站式数字化平台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江苏昆仑互联科技有限公司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基于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INECO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平台的智慧运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维综合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解决方案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盐城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江苏通付盾科技有限公司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基于大数据的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金融风控平台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科大讯飞（苏州）科技有限公司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端云结合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的智慧安检大数据平台的研发和产业化应用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南京聚铭网络科技有限公司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聚铭下一代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智慧安全运营中心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南京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大全集团有限公司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面向中低压输配电行业智能制造大数据应用示范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镇江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昆山联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滔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电子有限公司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智能移动终端核心模组发展示范项目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苏州</w:t>
            </w:r>
          </w:p>
        </w:tc>
      </w:tr>
      <w:tr w:rsidR="007A38B3" w:rsidRPr="008D5AA0" w:rsidTr="007A38B3">
        <w:trPr>
          <w:trHeight w:hRule="exact" w:val="624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赢胜节能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集团股份有限公司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一体化数字供应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链工业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互联网平台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泰州</w:t>
            </w:r>
          </w:p>
        </w:tc>
      </w:tr>
    </w:tbl>
    <w:p w:rsidR="00B40542" w:rsidRDefault="007A38B3">
      <w:pPr>
        <w:ind w:firstLine="440"/>
      </w:pPr>
    </w:p>
    <w:sectPr w:rsidR="00B40542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B3"/>
    <w:rsid w:val="00036107"/>
    <w:rsid w:val="00464753"/>
    <w:rsid w:val="004F32DB"/>
    <w:rsid w:val="00526C17"/>
    <w:rsid w:val="006D3763"/>
    <w:rsid w:val="006F6289"/>
    <w:rsid w:val="007A38B3"/>
    <w:rsid w:val="00A062D2"/>
    <w:rsid w:val="00BE6338"/>
    <w:rsid w:val="00DB7B09"/>
    <w:rsid w:val="00E40AE3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9B55B-2BC4-4922-98D2-76A2528C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B3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table" w:customStyle="1" w:styleId="20">
    <w:name w:val="网格型2"/>
    <w:basedOn w:val="a1"/>
    <w:next w:val="a8"/>
    <w:uiPriority w:val="39"/>
    <w:rsid w:val="007A38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2023-11-10T09:49:00Z</dcterms:created>
  <dcterms:modified xsi:type="dcterms:W3CDTF">2023-11-10T09:51:00Z</dcterms:modified>
</cp:coreProperties>
</file>