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6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 w14:paraId="7E754C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bdr w:val="none" w:color="auto" w:sz="0" w:space="0"/>
          <w:shd w:val="clear" w:fill="FFFFFF"/>
        </w:rPr>
        <w:t>2024年吴中区推动大规模设备更新和消费品以旧换新任务清单</w:t>
      </w:r>
    </w:p>
    <w:bookmarkEnd w:id="0"/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7"/>
        <w:gridCol w:w="1226"/>
        <w:gridCol w:w="5059"/>
        <w:gridCol w:w="1464"/>
      </w:tblGrid>
      <w:tr w14:paraId="3FF75F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D4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7D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领域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32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2024年推进任务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B9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牵头责任部门</w:t>
            </w:r>
          </w:p>
        </w:tc>
      </w:tr>
      <w:tr w14:paraId="782FD3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9F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10590" w:type="dxa"/>
            <w:gridSpan w:val="2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BA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实施设备更新行动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93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43D810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28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4C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00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组织实施技术改造项目100个以上。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C7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区工信局</w:t>
            </w:r>
          </w:p>
        </w:tc>
      </w:tr>
      <w:tr w14:paraId="7247B8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D7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90D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C8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新建1家绿色工厂、1家（近）零碳工厂。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8B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区工信局</w:t>
            </w:r>
          </w:p>
          <w:p w14:paraId="7FCD8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区发改委</w:t>
            </w:r>
          </w:p>
        </w:tc>
      </w:tr>
      <w:tr w14:paraId="3DF509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30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B7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能源和环保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FA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有序推进江远热电关停工作，同步推进吴淞江科技产业园燃气轮机创新发展示范项目建设。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F7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区发改委</w:t>
            </w:r>
          </w:p>
        </w:tc>
      </w:tr>
      <w:tr w14:paraId="5044E3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15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CE4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28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完成国Ⅲ及以下排放标准营运类柴油货车淘汰任务。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C85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区交通运输局</w:t>
            </w:r>
          </w:p>
          <w:p w14:paraId="50DD5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吴中生态环境局</w:t>
            </w:r>
          </w:p>
        </w:tc>
      </w:tr>
      <w:tr w14:paraId="13FDFA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7C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9A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建筑和市政</w:t>
            </w:r>
          </w:p>
          <w:p w14:paraId="26FB7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基础设施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0B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报废更新或修理改造老旧住宅电梯50台。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67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区市场监管局</w:t>
            </w:r>
          </w:p>
        </w:tc>
      </w:tr>
      <w:tr w14:paraId="613871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87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EF6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77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新改建供水管网7公里、排水管网38公里。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3B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区水务局</w:t>
            </w:r>
          </w:p>
        </w:tc>
      </w:tr>
      <w:tr w14:paraId="48EEA2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9D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639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27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完成公共机构既有建筑节能改造面积1.8万平方米。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08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区住建局</w:t>
            </w:r>
          </w:p>
          <w:p w14:paraId="54E29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区机关事务管理中心</w:t>
            </w:r>
          </w:p>
        </w:tc>
      </w:tr>
      <w:tr w14:paraId="03E0AC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B3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000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3A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完成燃气管网更新改造约5.902公里。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75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区住建局</w:t>
            </w:r>
          </w:p>
        </w:tc>
      </w:tr>
      <w:tr w14:paraId="667C41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E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7C3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6D1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指导和督促板块加快推进太湖新城1座垃圾转运站的规划化建设。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D8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区城管局</w:t>
            </w:r>
          </w:p>
        </w:tc>
      </w:tr>
      <w:tr w14:paraId="4D9F97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BC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18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农业农村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5D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新建农产品产地冷藏保鲜设施7座。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13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区农业农村局</w:t>
            </w:r>
          </w:p>
        </w:tc>
      </w:tr>
      <w:tr w14:paraId="6E4A1D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F0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A0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08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更新中小学实验设备8套。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EB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区教育局</w:t>
            </w:r>
          </w:p>
        </w:tc>
      </w:tr>
      <w:tr w14:paraId="42B624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63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0A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文旅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54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储备更新观光、游乐、演艺、智能等设施设备1台（套）。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A1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区文体旅局</w:t>
            </w:r>
          </w:p>
        </w:tc>
      </w:tr>
      <w:tr w14:paraId="67BF61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2E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AB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医疗卫生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3A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拟更新医疗相关设备324台（套）左右，其中医疗设备41台（套），信息化设备283台（套）。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117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区卫健委</w:t>
            </w:r>
          </w:p>
        </w:tc>
      </w:tr>
      <w:tr w14:paraId="6E3A0F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3B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13035" w:type="dxa"/>
            <w:gridSpan w:val="3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14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实施消费品以旧换新行动</w:t>
            </w:r>
          </w:p>
        </w:tc>
      </w:tr>
      <w:tr w14:paraId="1D7D73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0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95" w:type="dxa"/>
            <w:vMerge w:val="restart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B9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车辆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9E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参与苏州市2024年汽车“以旧换新”及购车补贴活动，财政补贴资金约500万元。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DE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区商务局</w:t>
            </w:r>
          </w:p>
        </w:tc>
      </w:tr>
      <w:tr w14:paraId="316975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6E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9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F9AD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40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年度计划新建400个公共领域充电桩。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57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区工信局</w:t>
            </w:r>
          </w:p>
        </w:tc>
      </w:tr>
      <w:tr w14:paraId="571E4D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A1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13035" w:type="dxa"/>
            <w:gridSpan w:val="3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59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实施回收循环利用行动</w:t>
            </w:r>
          </w:p>
        </w:tc>
      </w:tr>
      <w:tr w14:paraId="1FEDA4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14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4D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资源回收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4F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计划投建回收网点10个。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0C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区城投集团</w:t>
            </w:r>
          </w:p>
          <w:p w14:paraId="63BE7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区供销社</w:t>
            </w:r>
          </w:p>
        </w:tc>
      </w:tr>
      <w:tr w14:paraId="0069DD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0B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2B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循环利用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E0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健全培育废旧家电拆解、大宗固体废弃物等循环利用产业示范基地和骨干企业。</w:t>
            </w:r>
          </w:p>
        </w:tc>
        <w:tc>
          <w:tcPr>
            <w:tcW w:w="244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58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区发改委</w:t>
            </w:r>
          </w:p>
        </w:tc>
      </w:tr>
      <w:tr w14:paraId="0F5EDE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26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13035" w:type="dxa"/>
            <w:gridSpan w:val="3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16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实施标准升级行动</w:t>
            </w:r>
          </w:p>
        </w:tc>
      </w:tr>
      <w:tr w14:paraId="1218B8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64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BD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能耗和排放标准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DF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参与制定（修订）1项能耗、排放领域的国家/行业标准、地方标准和团体标准。</w:t>
            </w:r>
          </w:p>
        </w:tc>
        <w:tc>
          <w:tcPr>
            <w:tcW w:w="2445" w:type="dxa"/>
            <w:vMerge w:val="restart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74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区市场监管局</w:t>
            </w:r>
          </w:p>
        </w:tc>
      </w:tr>
      <w:tr w14:paraId="0D13FB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51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95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D7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产品技术领域</w:t>
            </w:r>
          </w:p>
        </w:tc>
        <w:tc>
          <w:tcPr>
            <w:tcW w:w="8580" w:type="dxa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E7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3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参与制定（修订）1项产品技术领域的国家/行业标准、地方标准和团体标准。</w:t>
            </w:r>
          </w:p>
        </w:tc>
        <w:tc>
          <w:tcPr>
            <w:tcW w:w="2445" w:type="dxa"/>
            <w:vMerge w:val="continue"/>
            <w:tcBorders>
              <w:top w:val="single" w:color="D0DCEC" w:sz="6" w:space="0"/>
              <w:left w:val="single" w:color="D0DCEC" w:sz="6" w:space="0"/>
              <w:bottom w:val="single" w:color="D0DCEC" w:sz="6" w:space="0"/>
              <w:right w:val="single" w:color="D0DCEC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7F9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2F90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</w:p>
    <w:p w14:paraId="227C9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5BD9390B"/>
    <w:rsid w:val="5BD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2024-08-31T07:13:00Z</dcterms:created>
  <dc:creator>GUAN</dc:creator>
  <cp:lastModifiedBy>GUAN</cp:lastModifiedBy>
  <dcterms:modified xsi:type="dcterms:W3CDTF">2024-08-31T07:13:22Z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40AA3CB383384FE9A77933E5A6E31A3A_11</vt:lpwstr>
  </property>
</Properties>
</file>